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41772" w14:textId="28A5E654" w:rsidR="0097674A" w:rsidRDefault="0097674A" w:rsidP="0097674A">
      <w:pPr>
        <w:widowControl w:val="0"/>
        <w:autoSpaceDE w:val="0"/>
        <w:autoSpaceDN w:val="0"/>
        <w:spacing w:after="0" w:line="360" w:lineRule="auto"/>
        <w:ind w:left="709" w:hanging="283"/>
        <w:jc w:val="right"/>
        <w:rPr>
          <w:rFonts w:ascii="Times New Roman" w:eastAsia="Times New Roman" w:hAnsi="Times New Roman" w:cs="Times New Roman"/>
          <w:b/>
          <w:bCs/>
          <w:sz w:val="24"/>
          <w:szCs w:val="24"/>
          <w:lang w:eastAsia="ru-RU"/>
        </w:rPr>
      </w:pPr>
      <w:bookmarkStart w:id="0" w:name="_GoBack"/>
      <w:bookmarkEnd w:id="0"/>
    </w:p>
    <w:p w14:paraId="22E988B8" w14:textId="5BC1F13D" w:rsidR="00430F3E" w:rsidRPr="0097674A" w:rsidRDefault="00430F3E" w:rsidP="008657C0">
      <w:pPr>
        <w:widowControl w:val="0"/>
        <w:autoSpaceDE w:val="0"/>
        <w:autoSpaceDN w:val="0"/>
        <w:spacing w:after="0" w:line="240" w:lineRule="auto"/>
        <w:ind w:left="709" w:hanging="284"/>
        <w:jc w:val="center"/>
        <w:rPr>
          <w:rFonts w:ascii="Times New Roman" w:eastAsia="Times New Roman" w:hAnsi="Times New Roman" w:cs="Times New Roman"/>
          <w:b/>
          <w:bCs/>
          <w:sz w:val="24"/>
          <w:szCs w:val="24"/>
          <w:lang w:eastAsia="ru-RU"/>
        </w:rPr>
      </w:pPr>
      <w:r w:rsidRPr="0097674A">
        <w:rPr>
          <w:rFonts w:ascii="Times New Roman" w:eastAsia="Times New Roman" w:hAnsi="Times New Roman" w:cs="Times New Roman"/>
          <w:b/>
          <w:bCs/>
          <w:sz w:val="24"/>
          <w:szCs w:val="24"/>
          <w:lang w:eastAsia="ru-RU"/>
        </w:rPr>
        <w:t>Перечень нормативных правовых актов</w:t>
      </w:r>
      <w:r w:rsidR="005E2323">
        <w:rPr>
          <w:rFonts w:ascii="Times New Roman" w:eastAsia="Times New Roman" w:hAnsi="Times New Roman" w:cs="Times New Roman"/>
          <w:b/>
          <w:bCs/>
          <w:sz w:val="24"/>
          <w:szCs w:val="24"/>
          <w:lang w:eastAsia="ru-RU"/>
        </w:rPr>
        <w:t xml:space="preserve"> и</w:t>
      </w:r>
      <w:r w:rsidR="0097674A" w:rsidRPr="0097674A">
        <w:rPr>
          <w:rFonts w:ascii="Times New Roman" w:eastAsia="Times New Roman" w:hAnsi="Times New Roman" w:cs="Times New Roman"/>
          <w:b/>
          <w:bCs/>
          <w:sz w:val="24"/>
          <w:szCs w:val="24"/>
          <w:lang w:eastAsia="ru-RU"/>
        </w:rPr>
        <w:t xml:space="preserve"> иных источников,</w:t>
      </w:r>
      <w:r w:rsidRPr="0097674A">
        <w:rPr>
          <w:rFonts w:ascii="Times New Roman" w:eastAsia="Times New Roman" w:hAnsi="Times New Roman" w:cs="Times New Roman"/>
          <w:b/>
          <w:bCs/>
          <w:sz w:val="24"/>
          <w:szCs w:val="24"/>
          <w:lang w:eastAsia="ru-RU"/>
        </w:rPr>
        <w:t xml:space="preserve"> </w:t>
      </w:r>
    </w:p>
    <w:p w14:paraId="5AB6FF47" w14:textId="1D5A935C" w:rsidR="00413A1F" w:rsidRDefault="00430F3E" w:rsidP="008657C0">
      <w:pPr>
        <w:autoSpaceDE w:val="0"/>
        <w:autoSpaceDN w:val="0"/>
        <w:adjustRightInd w:val="0"/>
        <w:spacing w:after="0" w:line="240" w:lineRule="auto"/>
        <w:ind w:left="709" w:hanging="284"/>
        <w:jc w:val="center"/>
        <w:outlineLvl w:val="1"/>
        <w:rPr>
          <w:rFonts w:ascii="Times New Roman" w:eastAsia="Times New Roman" w:hAnsi="Times New Roman" w:cs="Times New Roman"/>
          <w:b/>
          <w:bCs/>
          <w:sz w:val="24"/>
          <w:szCs w:val="24"/>
          <w:lang w:eastAsia="ru-RU"/>
        </w:rPr>
      </w:pPr>
      <w:r w:rsidRPr="0097674A">
        <w:rPr>
          <w:rFonts w:ascii="Times New Roman" w:eastAsia="Times New Roman" w:hAnsi="Times New Roman" w:cs="Times New Roman"/>
          <w:b/>
          <w:bCs/>
          <w:sz w:val="24"/>
          <w:szCs w:val="24"/>
          <w:lang w:eastAsia="ru-RU"/>
        </w:rPr>
        <w:t xml:space="preserve">рекомендуемых для подготовки к сдаче </w:t>
      </w:r>
      <w:r w:rsidR="00413A1F" w:rsidRPr="0097674A">
        <w:rPr>
          <w:rFonts w:ascii="Times New Roman" w:eastAsia="Times New Roman" w:hAnsi="Times New Roman" w:cs="Times New Roman"/>
          <w:b/>
          <w:bCs/>
          <w:sz w:val="24"/>
          <w:szCs w:val="24"/>
          <w:lang w:eastAsia="ru-RU"/>
        </w:rPr>
        <w:t>квалификационн</w:t>
      </w:r>
      <w:r w:rsidRPr="0097674A">
        <w:rPr>
          <w:rFonts w:ascii="Times New Roman" w:eastAsia="Times New Roman" w:hAnsi="Times New Roman" w:cs="Times New Roman"/>
          <w:b/>
          <w:bCs/>
          <w:sz w:val="24"/>
          <w:szCs w:val="24"/>
          <w:lang w:eastAsia="ru-RU"/>
        </w:rPr>
        <w:t>ого</w:t>
      </w:r>
      <w:r w:rsidR="00413A1F" w:rsidRPr="0097674A">
        <w:rPr>
          <w:rFonts w:ascii="Times New Roman" w:eastAsia="Times New Roman" w:hAnsi="Times New Roman" w:cs="Times New Roman"/>
          <w:b/>
          <w:bCs/>
          <w:sz w:val="24"/>
          <w:szCs w:val="24"/>
          <w:lang w:eastAsia="ru-RU"/>
        </w:rPr>
        <w:t xml:space="preserve"> экзамен</w:t>
      </w:r>
      <w:r w:rsidRPr="0097674A">
        <w:rPr>
          <w:rFonts w:ascii="Times New Roman" w:eastAsia="Times New Roman" w:hAnsi="Times New Roman" w:cs="Times New Roman"/>
          <w:b/>
          <w:bCs/>
          <w:sz w:val="24"/>
          <w:szCs w:val="24"/>
          <w:lang w:eastAsia="ru-RU"/>
        </w:rPr>
        <w:t>а</w:t>
      </w:r>
      <w:r w:rsidR="00413A1F" w:rsidRPr="0097674A">
        <w:rPr>
          <w:rFonts w:ascii="Times New Roman" w:eastAsia="Times New Roman" w:hAnsi="Times New Roman" w:cs="Times New Roman"/>
          <w:b/>
          <w:bCs/>
          <w:sz w:val="24"/>
          <w:szCs w:val="24"/>
          <w:lang w:eastAsia="ru-RU"/>
        </w:rPr>
        <w:t xml:space="preserve"> для </w:t>
      </w:r>
      <w:r w:rsidR="0097674A" w:rsidRPr="0097674A">
        <w:rPr>
          <w:rFonts w:ascii="Times New Roman" w:eastAsia="Times New Roman" w:hAnsi="Times New Roman" w:cs="Times New Roman"/>
          <w:b/>
          <w:bCs/>
          <w:sz w:val="24"/>
          <w:szCs w:val="24"/>
          <w:lang w:eastAsia="ru-RU"/>
        </w:rPr>
        <w:t>аттестации</w:t>
      </w:r>
      <w:r w:rsidR="00413A1F" w:rsidRPr="0097674A">
        <w:rPr>
          <w:rFonts w:ascii="Times New Roman" w:eastAsia="Times New Roman" w:hAnsi="Times New Roman" w:cs="Times New Roman"/>
          <w:b/>
          <w:bCs/>
          <w:sz w:val="24"/>
          <w:szCs w:val="24"/>
          <w:lang w:eastAsia="ru-RU"/>
        </w:rPr>
        <w:t xml:space="preserve"> </w:t>
      </w:r>
      <w:r w:rsidR="0097674A" w:rsidRPr="0097674A">
        <w:rPr>
          <w:rFonts w:ascii="Times New Roman" w:eastAsia="Times New Roman" w:hAnsi="Times New Roman" w:cs="Times New Roman"/>
          <w:b/>
          <w:bCs/>
          <w:sz w:val="24"/>
          <w:szCs w:val="24"/>
          <w:lang w:eastAsia="ru-RU"/>
        </w:rPr>
        <w:t>физических лиц в сфере деятельности</w:t>
      </w:r>
      <w:r w:rsidR="00BC63F5">
        <w:rPr>
          <w:rFonts w:ascii="Times New Roman" w:eastAsia="Times New Roman" w:hAnsi="Times New Roman" w:cs="Times New Roman"/>
          <w:b/>
          <w:bCs/>
          <w:sz w:val="24"/>
          <w:szCs w:val="24"/>
          <w:lang w:eastAsia="ru-RU"/>
        </w:rPr>
        <w:t xml:space="preserve"> по ведению реестра</w:t>
      </w:r>
    </w:p>
    <w:p w14:paraId="6576E5CB" w14:textId="7CF13CA9" w:rsidR="00BC63F5" w:rsidRDefault="00BC63F5" w:rsidP="008657C0">
      <w:pPr>
        <w:autoSpaceDE w:val="0"/>
        <w:autoSpaceDN w:val="0"/>
        <w:adjustRightInd w:val="0"/>
        <w:spacing w:after="0" w:line="240" w:lineRule="auto"/>
        <w:ind w:left="709" w:hanging="284"/>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владельцев ценных бумаг</w:t>
      </w:r>
    </w:p>
    <w:p w14:paraId="6AA2FAD9" w14:textId="77777777" w:rsidR="00BB6921" w:rsidRDefault="00BB6921" w:rsidP="008657C0">
      <w:pPr>
        <w:autoSpaceDE w:val="0"/>
        <w:autoSpaceDN w:val="0"/>
        <w:adjustRightInd w:val="0"/>
        <w:spacing w:after="0" w:line="240" w:lineRule="auto"/>
        <w:ind w:left="709" w:hanging="284"/>
        <w:jc w:val="center"/>
        <w:outlineLvl w:val="1"/>
        <w:rPr>
          <w:rFonts w:ascii="Times New Roman" w:eastAsia="Times New Roman" w:hAnsi="Times New Roman" w:cs="Times New Roman"/>
          <w:b/>
          <w:bCs/>
          <w:sz w:val="24"/>
          <w:szCs w:val="24"/>
          <w:lang w:eastAsia="ru-RU"/>
        </w:rPr>
      </w:pPr>
    </w:p>
    <w:p w14:paraId="36822E50" w14:textId="77777777" w:rsidR="00394B23" w:rsidRDefault="00394B23" w:rsidP="008657C0">
      <w:pPr>
        <w:autoSpaceDE w:val="0"/>
        <w:autoSpaceDN w:val="0"/>
        <w:adjustRightInd w:val="0"/>
        <w:spacing w:after="0" w:line="240" w:lineRule="auto"/>
        <w:ind w:left="709" w:hanging="284"/>
        <w:jc w:val="center"/>
        <w:outlineLvl w:val="1"/>
        <w:rPr>
          <w:rFonts w:ascii="Times New Roman" w:eastAsia="Times New Roman" w:hAnsi="Times New Roman" w:cs="Times New Roman"/>
          <w:b/>
          <w:bCs/>
          <w:sz w:val="24"/>
          <w:szCs w:val="24"/>
          <w:lang w:eastAsia="ru-RU"/>
        </w:rPr>
      </w:pPr>
    </w:p>
    <w:p w14:paraId="56CD471A" w14:textId="77777777" w:rsidR="00BC63F5" w:rsidRDefault="00BC63F5" w:rsidP="008657C0">
      <w:pPr>
        <w:autoSpaceDE w:val="0"/>
        <w:autoSpaceDN w:val="0"/>
        <w:adjustRightInd w:val="0"/>
        <w:spacing w:after="0" w:line="240" w:lineRule="auto"/>
        <w:ind w:left="709" w:hanging="284"/>
        <w:jc w:val="center"/>
        <w:outlineLvl w:val="1"/>
        <w:rPr>
          <w:rFonts w:ascii="Times New Roman" w:eastAsia="Times New Roman" w:hAnsi="Times New Roman" w:cs="Times New Roman"/>
          <w:b/>
          <w:bCs/>
          <w:sz w:val="24"/>
          <w:szCs w:val="24"/>
          <w:lang w:eastAsia="ru-RU"/>
        </w:rPr>
      </w:pPr>
    </w:p>
    <w:p w14:paraId="097E5397" w14:textId="3F95ADFF" w:rsidR="00BB6921" w:rsidRPr="00690FEC" w:rsidRDefault="00ED3535" w:rsidP="00394B23">
      <w:pPr>
        <w:pStyle w:val="a9"/>
        <w:numPr>
          <w:ilvl w:val="0"/>
          <w:numId w:val="10"/>
        </w:numPr>
        <w:autoSpaceDE w:val="0"/>
        <w:autoSpaceDN w:val="0"/>
        <w:adjustRightInd w:val="0"/>
        <w:spacing w:after="0" w:line="240" w:lineRule="auto"/>
        <w:ind w:left="567" w:hanging="567"/>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Нормативные, правовые акты</w:t>
      </w:r>
      <w:r w:rsidR="00BB6921" w:rsidRPr="00394B23">
        <w:rPr>
          <w:rFonts w:ascii="Times New Roman" w:eastAsia="Times New Roman" w:hAnsi="Times New Roman" w:cs="Times New Roman"/>
          <w:b/>
          <w:bCs/>
          <w:sz w:val="24"/>
          <w:szCs w:val="24"/>
          <w:lang w:eastAsia="ru-RU"/>
        </w:rPr>
        <w:t xml:space="preserve"> Российской Федерации</w:t>
      </w:r>
      <w:r>
        <w:rPr>
          <w:rFonts w:ascii="Times New Roman" w:eastAsia="Times New Roman" w:hAnsi="Times New Roman" w:cs="Times New Roman"/>
          <w:b/>
          <w:bCs/>
          <w:sz w:val="24"/>
          <w:szCs w:val="24"/>
          <w:lang w:eastAsia="ru-RU"/>
        </w:rPr>
        <w:t xml:space="preserve">, нормативные акты и </w:t>
      </w:r>
      <w:r w:rsidRPr="00690FEC">
        <w:rPr>
          <w:rFonts w:ascii="Times New Roman" w:eastAsia="Times New Roman" w:hAnsi="Times New Roman" w:cs="Times New Roman"/>
          <w:b/>
          <w:bCs/>
          <w:sz w:val="24"/>
          <w:szCs w:val="24"/>
          <w:lang w:eastAsia="ru-RU"/>
        </w:rPr>
        <w:t>другие документы Банка России</w:t>
      </w:r>
    </w:p>
    <w:p w14:paraId="7F4BA397" w14:textId="77777777" w:rsidR="0097674A" w:rsidRPr="00690FEC" w:rsidRDefault="0097674A" w:rsidP="00AB553D">
      <w:pPr>
        <w:pStyle w:val="Default"/>
        <w:ind w:left="567" w:hanging="567"/>
        <w:jc w:val="both"/>
        <w:rPr>
          <w:color w:val="auto"/>
        </w:rPr>
      </w:pPr>
    </w:p>
    <w:p w14:paraId="1B45637F" w14:textId="4B64910F" w:rsidR="000C4394" w:rsidRPr="00690FEC" w:rsidRDefault="000C4394" w:rsidP="00ED3535">
      <w:pPr>
        <w:pStyle w:val="a9"/>
        <w:numPr>
          <w:ilvl w:val="0"/>
          <w:numId w:val="16"/>
        </w:numPr>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690FEC">
        <w:rPr>
          <w:rFonts w:ascii="Times New Roman" w:hAnsi="Times New Roman" w:cs="Times New Roman"/>
          <w:sz w:val="24"/>
          <w:szCs w:val="24"/>
        </w:rPr>
        <w:t xml:space="preserve">Гражданский </w:t>
      </w:r>
      <w:hyperlink r:id="rId8" w:history="1">
        <w:r w:rsidRPr="00690FEC">
          <w:rPr>
            <w:rFonts w:ascii="Times New Roman" w:hAnsi="Times New Roman" w:cs="Times New Roman"/>
            <w:sz w:val="24"/>
            <w:szCs w:val="24"/>
          </w:rPr>
          <w:t>кодекс</w:t>
        </w:r>
      </w:hyperlink>
      <w:r w:rsidRPr="00690FEC">
        <w:rPr>
          <w:rFonts w:ascii="Times New Roman" w:hAnsi="Times New Roman" w:cs="Times New Roman"/>
          <w:sz w:val="24"/>
          <w:szCs w:val="24"/>
        </w:rPr>
        <w:t xml:space="preserve"> Российской Фе</w:t>
      </w:r>
      <w:r w:rsidR="005A335C" w:rsidRPr="00690FEC">
        <w:rPr>
          <w:rFonts w:ascii="Times New Roman" w:hAnsi="Times New Roman" w:cs="Times New Roman"/>
          <w:sz w:val="24"/>
          <w:szCs w:val="24"/>
        </w:rPr>
        <w:t xml:space="preserve">дерации (часть первая) от 30 ноября </w:t>
      </w:r>
      <w:r w:rsidRPr="00690FEC">
        <w:rPr>
          <w:rFonts w:ascii="Times New Roman" w:hAnsi="Times New Roman" w:cs="Times New Roman"/>
          <w:sz w:val="24"/>
          <w:szCs w:val="24"/>
        </w:rPr>
        <w:t xml:space="preserve">1994 </w:t>
      </w:r>
      <w:r w:rsidR="005A335C" w:rsidRPr="00690FEC">
        <w:rPr>
          <w:rFonts w:ascii="Times New Roman" w:hAnsi="Times New Roman" w:cs="Times New Roman"/>
          <w:sz w:val="24"/>
          <w:szCs w:val="24"/>
        </w:rPr>
        <w:t xml:space="preserve">года </w:t>
      </w:r>
      <w:r w:rsidR="0097674A" w:rsidRPr="00690FEC">
        <w:rPr>
          <w:rFonts w:ascii="Times New Roman" w:hAnsi="Times New Roman" w:cs="Times New Roman"/>
          <w:sz w:val="24"/>
          <w:szCs w:val="24"/>
        </w:rPr>
        <w:t>№</w:t>
      </w:r>
      <w:r w:rsidRPr="00690FEC">
        <w:rPr>
          <w:rFonts w:ascii="Times New Roman" w:hAnsi="Times New Roman" w:cs="Times New Roman"/>
          <w:sz w:val="24"/>
          <w:szCs w:val="24"/>
        </w:rPr>
        <w:t xml:space="preserve"> 51-ФЗ.</w:t>
      </w:r>
    </w:p>
    <w:p w14:paraId="39D82BB0" w14:textId="07470A2B" w:rsidR="000C4394" w:rsidRPr="00690FEC" w:rsidRDefault="000C4394" w:rsidP="00ED3535">
      <w:pPr>
        <w:pStyle w:val="a9"/>
        <w:numPr>
          <w:ilvl w:val="0"/>
          <w:numId w:val="16"/>
        </w:numPr>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690FEC">
        <w:rPr>
          <w:rFonts w:ascii="Times New Roman" w:hAnsi="Times New Roman" w:cs="Times New Roman"/>
          <w:sz w:val="24"/>
          <w:szCs w:val="24"/>
        </w:rPr>
        <w:t xml:space="preserve">Гражданский </w:t>
      </w:r>
      <w:hyperlink r:id="rId9" w:history="1">
        <w:r w:rsidRPr="00690FEC">
          <w:rPr>
            <w:rFonts w:ascii="Times New Roman" w:hAnsi="Times New Roman" w:cs="Times New Roman"/>
            <w:sz w:val="24"/>
            <w:szCs w:val="24"/>
          </w:rPr>
          <w:t>кодекс</w:t>
        </w:r>
      </w:hyperlink>
      <w:r w:rsidRPr="00690FEC">
        <w:rPr>
          <w:rFonts w:ascii="Times New Roman" w:hAnsi="Times New Roman" w:cs="Times New Roman"/>
          <w:sz w:val="24"/>
          <w:szCs w:val="24"/>
        </w:rPr>
        <w:t xml:space="preserve"> Российской Фе</w:t>
      </w:r>
      <w:r w:rsidR="005A335C" w:rsidRPr="00690FEC">
        <w:rPr>
          <w:rFonts w:ascii="Times New Roman" w:hAnsi="Times New Roman" w:cs="Times New Roman"/>
          <w:sz w:val="24"/>
          <w:szCs w:val="24"/>
        </w:rPr>
        <w:t xml:space="preserve">дерации (часть вторая) от 26 января </w:t>
      </w:r>
      <w:r w:rsidRPr="00690FEC">
        <w:rPr>
          <w:rFonts w:ascii="Times New Roman" w:hAnsi="Times New Roman" w:cs="Times New Roman"/>
          <w:sz w:val="24"/>
          <w:szCs w:val="24"/>
        </w:rPr>
        <w:t xml:space="preserve">1996 </w:t>
      </w:r>
      <w:r w:rsidR="005A335C" w:rsidRPr="00690FEC">
        <w:rPr>
          <w:rFonts w:ascii="Times New Roman" w:hAnsi="Times New Roman" w:cs="Times New Roman"/>
          <w:sz w:val="24"/>
          <w:szCs w:val="24"/>
        </w:rPr>
        <w:t xml:space="preserve">года </w:t>
      </w:r>
      <w:r w:rsidR="00C444DA" w:rsidRPr="00690FEC">
        <w:rPr>
          <w:rFonts w:ascii="Times New Roman" w:hAnsi="Times New Roman" w:cs="Times New Roman"/>
          <w:sz w:val="24"/>
          <w:szCs w:val="24"/>
        </w:rPr>
        <w:t>№</w:t>
      </w:r>
      <w:r w:rsidRPr="00690FEC">
        <w:rPr>
          <w:rFonts w:ascii="Times New Roman" w:hAnsi="Times New Roman" w:cs="Times New Roman"/>
          <w:sz w:val="24"/>
          <w:szCs w:val="24"/>
        </w:rPr>
        <w:t xml:space="preserve"> 14-ФЗ.</w:t>
      </w:r>
    </w:p>
    <w:p w14:paraId="627049A3" w14:textId="4660A950" w:rsidR="000C4394" w:rsidRPr="00690FEC" w:rsidRDefault="000C4394" w:rsidP="00ED3535">
      <w:pPr>
        <w:pStyle w:val="a9"/>
        <w:numPr>
          <w:ilvl w:val="0"/>
          <w:numId w:val="16"/>
        </w:numPr>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690FEC">
        <w:rPr>
          <w:rFonts w:ascii="Times New Roman" w:hAnsi="Times New Roman" w:cs="Times New Roman"/>
          <w:sz w:val="24"/>
          <w:szCs w:val="24"/>
        </w:rPr>
        <w:t xml:space="preserve">Гражданский </w:t>
      </w:r>
      <w:hyperlink r:id="rId10" w:history="1">
        <w:r w:rsidRPr="00690FEC">
          <w:rPr>
            <w:rFonts w:ascii="Times New Roman" w:hAnsi="Times New Roman" w:cs="Times New Roman"/>
            <w:sz w:val="24"/>
            <w:szCs w:val="24"/>
          </w:rPr>
          <w:t>кодекс</w:t>
        </w:r>
      </w:hyperlink>
      <w:r w:rsidRPr="00690FEC">
        <w:rPr>
          <w:rFonts w:ascii="Times New Roman" w:hAnsi="Times New Roman" w:cs="Times New Roman"/>
          <w:sz w:val="24"/>
          <w:szCs w:val="24"/>
        </w:rPr>
        <w:t xml:space="preserve"> Российской Фе</w:t>
      </w:r>
      <w:r w:rsidR="005A335C" w:rsidRPr="00690FEC">
        <w:rPr>
          <w:rFonts w:ascii="Times New Roman" w:hAnsi="Times New Roman" w:cs="Times New Roman"/>
          <w:sz w:val="24"/>
          <w:szCs w:val="24"/>
        </w:rPr>
        <w:t xml:space="preserve">дерации (часть третья) от 26 ноября </w:t>
      </w:r>
      <w:r w:rsidRPr="00690FEC">
        <w:rPr>
          <w:rFonts w:ascii="Times New Roman" w:hAnsi="Times New Roman" w:cs="Times New Roman"/>
          <w:sz w:val="24"/>
          <w:szCs w:val="24"/>
        </w:rPr>
        <w:t xml:space="preserve">2001 </w:t>
      </w:r>
      <w:r w:rsidR="005A335C" w:rsidRPr="00690FEC">
        <w:rPr>
          <w:rFonts w:ascii="Times New Roman" w:hAnsi="Times New Roman" w:cs="Times New Roman"/>
          <w:sz w:val="24"/>
          <w:szCs w:val="24"/>
        </w:rPr>
        <w:t xml:space="preserve">года </w:t>
      </w:r>
      <w:r w:rsidR="00C444DA" w:rsidRPr="00690FEC">
        <w:rPr>
          <w:rFonts w:ascii="Times New Roman" w:hAnsi="Times New Roman" w:cs="Times New Roman"/>
          <w:sz w:val="24"/>
          <w:szCs w:val="24"/>
        </w:rPr>
        <w:t>№</w:t>
      </w:r>
      <w:r w:rsidRPr="00690FEC">
        <w:rPr>
          <w:rFonts w:ascii="Times New Roman" w:hAnsi="Times New Roman" w:cs="Times New Roman"/>
          <w:sz w:val="24"/>
          <w:szCs w:val="24"/>
        </w:rPr>
        <w:t xml:space="preserve"> 146-ФЗ.</w:t>
      </w:r>
    </w:p>
    <w:p w14:paraId="5BB2B616" w14:textId="43F2632D" w:rsidR="000C4394" w:rsidRPr="00690FEC" w:rsidRDefault="002744D2" w:rsidP="00ED3535">
      <w:pPr>
        <w:pStyle w:val="a9"/>
        <w:numPr>
          <w:ilvl w:val="0"/>
          <w:numId w:val="16"/>
        </w:numPr>
        <w:autoSpaceDE w:val="0"/>
        <w:autoSpaceDN w:val="0"/>
        <w:adjustRightInd w:val="0"/>
        <w:spacing w:after="0" w:line="240" w:lineRule="auto"/>
        <w:ind w:left="567" w:hanging="567"/>
        <w:jc w:val="both"/>
        <w:outlineLvl w:val="1"/>
        <w:rPr>
          <w:rFonts w:ascii="Times New Roman" w:hAnsi="Times New Roman" w:cs="Times New Roman"/>
          <w:sz w:val="24"/>
          <w:szCs w:val="24"/>
        </w:rPr>
      </w:pPr>
      <w:hyperlink r:id="rId11" w:history="1">
        <w:r w:rsidR="000C4394" w:rsidRPr="00690FEC">
          <w:rPr>
            <w:rFonts w:ascii="Times New Roman" w:hAnsi="Times New Roman" w:cs="Times New Roman"/>
            <w:sz w:val="24"/>
            <w:szCs w:val="24"/>
          </w:rPr>
          <w:t>Кодекс</w:t>
        </w:r>
      </w:hyperlink>
      <w:r w:rsidR="000C4394" w:rsidRPr="00690FEC">
        <w:rPr>
          <w:rFonts w:ascii="Times New Roman" w:hAnsi="Times New Roman" w:cs="Times New Roman"/>
          <w:sz w:val="24"/>
          <w:szCs w:val="24"/>
        </w:rPr>
        <w:t xml:space="preserve"> Российской Федерации об административных правона</w:t>
      </w:r>
      <w:r w:rsidR="005A335C" w:rsidRPr="00690FEC">
        <w:rPr>
          <w:rFonts w:ascii="Times New Roman" w:hAnsi="Times New Roman" w:cs="Times New Roman"/>
          <w:sz w:val="24"/>
          <w:szCs w:val="24"/>
        </w:rPr>
        <w:t xml:space="preserve">рушениях от 30 декабря </w:t>
      </w:r>
      <w:r w:rsidR="002C3DC6" w:rsidRPr="00690FEC">
        <w:rPr>
          <w:rFonts w:ascii="Times New Roman" w:hAnsi="Times New Roman" w:cs="Times New Roman"/>
          <w:sz w:val="24"/>
          <w:szCs w:val="24"/>
        </w:rPr>
        <w:t xml:space="preserve">2001 </w:t>
      </w:r>
      <w:r w:rsidR="005A335C" w:rsidRPr="00690FEC">
        <w:rPr>
          <w:rFonts w:ascii="Times New Roman" w:hAnsi="Times New Roman" w:cs="Times New Roman"/>
          <w:sz w:val="24"/>
          <w:szCs w:val="24"/>
        </w:rPr>
        <w:t xml:space="preserve">года </w:t>
      </w:r>
      <w:r w:rsidR="000E0F48" w:rsidRPr="00690FEC">
        <w:rPr>
          <w:rFonts w:ascii="Times New Roman" w:hAnsi="Times New Roman" w:cs="Times New Roman"/>
          <w:sz w:val="24"/>
          <w:szCs w:val="24"/>
        </w:rPr>
        <w:t>№</w:t>
      </w:r>
      <w:r w:rsidR="002C3DC6" w:rsidRPr="00690FEC">
        <w:rPr>
          <w:rFonts w:ascii="Times New Roman" w:hAnsi="Times New Roman" w:cs="Times New Roman"/>
          <w:sz w:val="24"/>
          <w:szCs w:val="24"/>
        </w:rPr>
        <w:t xml:space="preserve"> 195-ФЗ.</w:t>
      </w:r>
    </w:p>
    <w:p w14:paraId="03B073CC" w14:textId="1D45FD2B" w:rsidR="00B97D2C" w:rsidRPr="00690FEC" w:rsidRDefault="00B97D2C"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iCs/>
          <w:sz w:val="24"/>
          <w:szCs w:val="24"/>
        </w:rPr>
      </w:pPr>
      <w:r w:rsidRPr="00690FEC">
        <w:rPr>
          <w:rFonts w:ascii="Times New Roman" w:hAnsi="Times New Roman" w:cs="Times New Roman"/>
          <w:iCs/>
          <w:sz w:val="24"/>
          <w:szCs w:val="24"/>
        </w:rPr>
        <w:t>Федеральны</w:t>
      </w:r>
      <w:r w:rsidR="005A335C" w:rsidRPr="00690FEC">
        <w:rPr>
          <w:rFonts w:ascii="Times New Roman" w:hAnsi="Times New Roman" w:cs="Times New Roman"/>
          <w:iCs/>
          <w:sz w:val="24"/>
          <w:szCs w:val="24"/>
        </w:rPr>
        <w:t xml:space="preserve">й закон от 26 декабря </w:t>
      </w:r>
      <w:r w:rsidRPr="00690FEC">
        <w:rPr>
          <w:rFonts w:ascii="Times New Roman" w:hAnsi="Times New Roman" w:cs="Times New Roman"/>
          <w:iCs/>
          <w:sz w:val="24"/>
          <w:szCs w:val="24"/>
        </w:rPr>
        <w:t>1995</w:t>
      </w:r>
      <w:r w:rsidR="005A335C" w:rsidRPr="00690FEC">
        <w:rPr>
          <w:rFonts w:ascii="Times New Roman" w:hAnsi="Times New Roman" w:cs="Times New Roman"/>
          <w:iCs/>
          <w:sz w:val="24"/>
          <w:szCs w:val="24"/>
        </w:rPr>
        <w:t xml:space="preserve"> года</w:t>
      </w:r>
      <w:r w:rsidRPr="00690FEC">
        <w:rPr>
          <w:rFonts w:ascii="Times New Roman" w:hAnsi="Times New Roman" w:cs="Times New Roman"/>
          <w:iCs/>
          <w:sz w:val="24"/>
          <w:szCs w:val="24"/>
        </w:rPr>
        <w:t xml:space="preserve"> №208-ФЗ «Об акционерных обществах».</w:t>
      </w:r>
    </w:p>
    <w:p w14:paraId="3992B84A" w14:textId="663AE2B7" w:rsidR="000C4394" w:rsidRPr="00690FEC" w:rsidRDefault="000C4394" w:rsidP="00ED3535">
      <w:pPr>
        <w:pStyle w:val="a9"/>
        <w:numPr>
          <w:ilvl w:val="0"/>
          <w:numId w:val="16"/>
        </w:numPr>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690FEC">
        <w:rPr>
          <w:rFonts w:ascii="Times New Roman" w:hAnsi="Times New Roman" w:cs="Times New Roman"/>
          <w:sz w:val="24"/>
          <w:szCs w:val="24"/>
        </w:rPr>
        <w:t xml:space="preserve">Федеральный </w:t>
      </w:r>
      <w:hyperlink r:id="rId12" w:history="1">
        <w:r w:rsidRPr="00690FEC">
          <w:rPr>
            <w:rFonts w:ascii="Times New Roman" w:hAnsi="Times New Roman" w:cs="Times New Roman"/>
            <w:sz w:val="24"/>
            <w:szCs w:val="24"/>
          </w:rPr>
          <w:t>закон</w:t>
        </w:r>
      </w:hyperlink>
      <w:r w:rsidR="005A335C" w:rsidRPr="00690FEC">
        <w:rPr>
          <w:rFonts w:ascii="Times New Roman" w:hAnsi="Times New Roman" w:cs="Times New Roman"/>
          <w:sz w:val="24"/>
          <w:szCs w:val="24"/>
        </w:rPr>
        <w:t xml:space="preserve"> от 22 апреля </w:t>
      </w:r>
      <w:r w:rsidRPr="00690FEC">
        <w:rPr>
          <w:rFonts w:ascii="Times New Roman" w:hAnsi="Times New Roman" w:cs="Times New Roman"/>
          <w:sz w:val="24"/>
          <w:szCs w:val="24"/>
        </w:rPr>
        <w:t xml:space="preserve">1996 </w:t>
      </w:r>
      <w:r w:rsidR="005A335C" w:rsidRPr="00690FEC">
        <w:rPr>
          <w:rFonts w:ascii="Times New Roman" w:hAnsi="Times New Roman" w:cs="Times New Roman"/>
          <w:sz w:val="24"/>
          <w:szCs w:val="24"/>
        </w:rPr>
        <w:t xml:space="preserve">года </w:t>
      </w:r>
      <w:r w:rsidR="00C444DA" w:rsidRPr="00690FEC">
        <w:rPr>
          <w:rFonts w:ascii="Times New Roman" w:hAnsi="Times New Roman" w:cs="Times New Roman"/>
          <w:sz w:val="24"/>
          <w:szCs w:val="24"/>
        </w:rPr>
        <w:t>№ 39-ФЗ «О рынке ценных бумаг»</w:t>
      </w:r>
      <w:r w:rsidRPr="00690FEC">
        <w:rPr>
          <w:rFonts w:ascii="Times New Roman" w:hAnsi="Times New Roman" w:cs="Times New Roman"/>
          <w:sz w:val="24"/>
          <w:szCs w:val="24"/>
        </w:rPr>
        <w:t>.</w:t>
      </w:r>
    </w:p>
    <w:p w14:paraId="723A3246" w14:textId="26DF8E07" w:rsidR="000C4394" w:rsidRPr="00690FEC" w:rsidRDefault="000C4394" w:rsidP="00ED3535">
      <w:pPr>
        <w:pStyle w:val="a9"/>
        <w:numPr>
          <w:ilvl w:val="0"/>
          <w:numId w:val="16"/>
        </w:numPr>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690FEC">
        <w:rPr>
          <w:rFonts w:ascii="Times New Roman" w:hAnsi="Times New Roman" w:cs="Times New Roman"/>
          <w:sz w:val="24"/>
          <w:szCs w:val="24"/>
        </w:rPr>
        <w:t xml:space="preserve">Федеральный </w:t>
      </w:r>
      <w:hyperlink r:id="rId13" w:history="1">
        <w:r w:rsidRPr="00690FEC">
          <w:rPr>
            <w:rFonts w:ascii="Times New Roman" w:hAnsi="Times New Roman" w:cs="Times New Roman"/>
            <w:sz w:val="24"/>
            <w:szCs w:val="24"/>
          </w:rPr>
          <w:t>закон</w:t>
        </w:r>
      </w:hyperlink>
      <w:r w:rsidR="000B3A13" w:rsidRPr="00690FEC">
        <w:rPr>
          <w:rFonts w:ascii="Times New Roman" w:hAnsi="Times New Roman" w:cs="Times New Roman"/>
          <w:sz w:val="24"/>
          <w:szCs w:val="24"/>
        </w:rPr>
        <w:t xml:space="preserve"> о</w:t>
      </w:r>
      <w:r w:rsidR="003E3C20" w:rsidRPr="00690FEC">
        <w:rPr>
          <w:rFonts w:ascii="Times New Roman" w:hAnsi="Times New Roman" w:cs="Times New Roman"/>
          <w:sz w:val="24"/>
          <w:szCs w:val="24"/>
        </w:rPr>
        <w:t xml:space="preserve">т </w:t>
      </w:r>
      <w:r w:rsidR="000B3A13" w:rsidRPr="00690FEC">
        <w:rPr>
          <w:rFonts w:ascii="Times New Roman" w:hAnsi="Times New Roman" w:cs="Times New Roman"/>
          <w:sz w:val="24"/>
          <w:szCs w:val="24"/>
        </w:rPr>
        <w:t xml:space="preserve">5 марта </w:t>
      </w:r>
      <w:r w:rsidR="00C444DA" w:rsidRPr="00690FEC">
        <w:rPr>
          <w:rFonts w:ascii="Times New Roman" w:hAnsi="Times New Roman" w:cs="Times New Roman"/>
          <w:sz w:val="24"/>
          <w:szCs w:val="24"/>
        </w:rPr>
        <w:t xml:space="preserve">1999 </w:t>
      </w:r>
      <w:r w:rsidR="000B3A13" w:rsidRPr="00690FEC">
        <w:rPr>
          <w:rFonts w:ascii="Times New Roman" w:hAnsi="Times New Roman" w:cs="Times New Roman"/>
          <w:sz w:val="24"/>
          <w:szCs w:val="24"/>
        </w:rPr>
        <w:t xml:space="preserve">года </w:t>
      </w:r>
      <w:r w:rsidR="00051149" w:rsidRPr="00690FEC">
        <w:rPr>
          <w:rFonts w:ascii="Times New Roman" w:hAnsi="Times New Roman" w:cs="Times New Roman"/>
          <w:sz w:val="24"/>
          <w:szCs w:val="24"/>
        </w:rPr>
        <w:t>№</w:t>
      </w:r>
      <w:r w:rsidR="00C444DA" w:rsidRPr="00690FEC">
        <w:rPr>
          <w:rFonts w:ascii="Times New Roman" w:hAnsi="Times New Roman" w:cs="Times New Roman"/>
          <w:sz w:val="24"/>
          <w:szCs w:val="24"/>
        </w:rPr>
        <w:t xml:space="preserve"> 46-ФЗ «</w:t>
      </w:r>
      <w:r w:rsidRPr="00690FEC">
        <w:rPr>
          <w:rFonts w:ascii="Times New Roman" w:hAnsi="Times New Roman" w:cs="Times New Roman"/>
          <w:sz w:val="24"/>
          <w:szCs w:val="24"/>
        </w:rPr>
        <w:t>О защите прав и законных интересов и</w:t>
      </w:r>
      <w:r w:rsidR="00C444DA" w:rsidRPr="00690FEC">
        <w:rPr>
          <w:rFonts w:ascii="Times New Roman" w:hAnsi="Times New Roman" w:cs="Times New Roman"/>
          <w:sz w:val="24"/>
          <w:szCs w:val="24"/>
        </w:rPr>
        <w:t>нвесторов на рынке ценных бумаг»</w:t>
      </w:r>
      <w:r w:rsidRPr="00690FEC">
        <w:rPr>
          <w:rFonts w:ascii="Times New Roman" w:hAnsi="Times New Roman" w:cs="Times New Roman"/>
          <w:sz w:val="24"/>
          <w:szCs w:val="24"/>
        </w:rPr>
        <w:t>.</w:t>
      </w:r>
    </w:p>
    <w:p w14:paraId="29E2C398" w14:textId="32966A12" w:rsidR="00B97D2C" w:rsidRPr="00690FEC" w:rsidRDefault="000C4394" w:rsidP="00ED3535">
      <w:pPr>
        <w:pStyle w:val="a9"/>
        <w:numPr>
          <w:ilvl w:val="0"/>
          <w:numId w:val="16"/>
        </w:numPr>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690FEC">
        <w:rPr>
          <w:rFonts w:ascii="Times New Roman" w:hAnsi="Times New Roman" w:cs="Times New Roman"/>
          <w:sz w:val="24"/>
          <w:szCs w:val="24"/>
        </w:rPr>
        <w:t xml:space="preserve">Федеральный </w:t>
      </w:r>
      <w:hyperlink r:id="rId14" w:history="1">
        <w:r w:rsidRPr="00690FEC">
          <w:rPr>
            <w:rFonts w:ascii="Times New Roman" w:hAnsi="Times New Roman" w:cs="Times New Roman"/>
            <w:sz w:val="24"/>
            <w:szCs w:val="24"/>
          </w:rPr>
          <w:t>закон</w:t>
        </w:r>
      </w:hyperlink>
      <w:r w:rsidR="003E3C20" w:rsidRPr="00690FEC">
        <w:rPr>
          <w:rFonts w:ascii="Times New Roman" w:hAnsi="Times New Roman" w:cs="Times New Roman"/>
          <w:sz w:val="24"/>
          <w:szCs w:val="24"/>
        </w:rPr>
        <w:t xml:space="preserve"> от </w:t>
      </w:r>
      <w:r w:rsidR="000B3A13" w:rsidRPr="00690FEC">
        <w:rPr>
          <w:rFonts w:ascii="Times New Roman" w:hAnsi="Times New Roman" w:cs="Times New Roman"/>
          <w:sz w:val="24"/>
          <w:szCs w:val="24"/>
        </w:rPr>
        <w:t xml:space="preserve">7 августа </w:t>
      </w:r>
      <w:r w:rsidRPr="00690FEC">
        <w:rPr>
          <w:rFonts w:ascii="Times New Roman" w:hAnsi="Times New Roman" w:cs="Times New Roman"/>
          <w:sz w:val="24"/>
          <w:szCs w:val="24"/>
        </w:rPr>
        <w:t xml:space="preserve">2001 </w:t>
      </w:r>
      <w:r w:rsidR="000B3A13" w:rsidRPr="00690FEC">
        <w:rPr>
          <w:rFonts w:ascii="Times New Roman" w:hAnsi="Times New Roman" w:cs="Times New Roman"/>
          <w:sz w:val="24"/>
          <w:szCs w:val="24"/>
        </w:rPr>
        <w:t xml:space="preserve">года </w:t>
      </w:r>
      <w:r w:rsidR="00C444DA" w:rsidRPr="00690FEC">
        <w:rPr>
          <w:rFonts w:ascii="Times New Roman" w:hAnsi="Times New Roman" w:cs="Times New Roman"/>
          <w:sz w:val="24"/>
          <w:szCs w:val="24"/>
        </w:rPr>
        <w:t>№ 115-ФЗ «</w:t>
      </w:r>
      <w:r w:rsidRPr="00690FEC">
        <w:rPr>
          <w:rFonts w:ascii="Times New Roman" w:hAnsi="Times New Roman" w:cs="Times New Roman"/>
          <w:sz w:val="24"/>
          <w:szCs w:val="24"/>
        </w:rPr>
        <w:t>О противодействии легализации (отмыванию) доходов, полученных преступным путем, и финансированию терроризма</w:t>
      </w:r>
      <w:r w:rsidR="00C444DA" w:rsidRPr="00690FEC">
        <w:rPr>
          <w:rFonts w:ascii="Times New Roman" w:hAnsi="Times New Roman" w:cs="Times New Roman"/>
          <w:sz w:val="24"/>
          <w:szCs w:val="24"/>
        </w:rPr>
        <w:t>».</w:t>
      </w:r>
    </w:p>
    <w:p w14:paraId="054B7AE9" w14:textId="6E7F5097" w:rsidR="00790FF8" w:rsidRPr="00690FEC" w:rsidRDefault="00790FF8" w:rsidP="00ED3535">
      <w:pPr>
        <w:pStyle w:val="a9"/>
        <w:numPr>
          <w:ilvl w:val="0"/>
          <w:numId w:val="16"/>
        </w:numPr>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690FEC">
        <w:rPr>
          <w:rFonts w:ascii="Times New Roman" w:hAnsi="Times New Roman" w:cs="Times New Roman"/>
          <w:sz w:val="24"/>
          <w:szCs w:val="24"/>
        </w:rPr>
        <w:t>Федеральный закон от 29 ноября 2001 года № 156-ФЗ «Об инвестиционных фондах».</w:t>
      </w:r>
    </w:p>
    <w:p w14:paraId="1A5612C4" w14:textId="65E9900D" w:rsidR="006632E3" w:rsidRPr="00690FEC" w:rsidRDefault="006632E3" w:rsidP="00ED3535">
      <w:pPr>
        <w:pStyle w:val="af5"/>
        <w:numPr>
          <w:ilvl w:val="0"/>
          <w:numId w:val="16"/>
        </w:numPr>
        <w:autoSpaceDE w:val="0"/>
        <w:autoSpaceDN w:val="0"/>
        <w:adjustRightInd w:val="0"/>
        <w:spacing w:before="0" w:beforeAutospacing="0" w:after="0" w:afterAutospacing="0"/>
        <w:ind w:left="567" w:hanging="567"/>
        <w:jc w:val="both"/>
        <w:outlineLvl w:val="1"/>
      </w:pPr>
      <w:r w:rsidRPr="00690FEC">
        <w:t>Федеральный закон</w:t>
      </w:r>
      <w:r w:rsidR="000B3A13" w:rsidRPr="00690FEC">
        <w:t xml:space="preserve"> от 27 июля </w:t>
      </w:r>
      <w:r w:rsidRPr="00690FEC">
        <w:t xml:space="preserve">2010 </w:t>
      </w:r>
      <w:r w:rsidR="000B3A13" w:rsidRPr="00690FEC">
        <w:t xml:space="preserve">года </w:t>
      </w:r>
      <w:r w:rsidRPr="00690FEC">
        <w:t>№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1F1164E3" w14:textId="1147C9A0" w:rsidR="00790FF8" w:rsidRDefault="00790FF8" w:rsidP="00006A8E">
      <w:pPr>
        <w:pStyle w:val="af5"/>
        <w:numPr>
          <w:ilvl w:val="0"/>
          <w:numId w:val="16"/>
        </w:numPr>
        <w:autoSpaceDE w:val="0"/>
        <w:autoSpaceDN w:val="0"/>
        <w:adjustRightInd w:val="0"/>
        <w:spacing w:before="0" w:beforeAutospacing="0" w:after="0" w:afterAutospacing="0"/>
        <w:ind w:left="567" w:hanging="567"/>
        <w:jc w:val="both"/>
        <w:outlineLvl w:val="1"/>
      </w:pPr>
      <w:r w:rsidRPr="00690FEC">
        <w:t xml:space="preserve">Федеральный закон от 26 октября 2002 года № 127-ФЗ «О несостоятельности </w:t>
      </w:r>
      <w:r w:rsidRPr="00006A8E">
        <w:t>(банкротстве)».</w:t>
      </w:r>
    </w:p>
    <w:p w14:paraId="2C8D528B" w14:textId="686FBCBE" w:rsidR="000C3312" w:rsidRDefault="000C3312" w:rsidP="00006A8E">
      <w:pPr>
        <w:pStyle w:val="af5"/>
        <w:numPr>
          <w:ilvl w:val="0"/>
          <w:numId w:val="16"/>
        </w:numPr>
        <w:autoSpaceDE w:val="0"/>
        <w:autoSpaceDN w:val="0"/>
        <w:adjustRightInd w:val="0"/>
        <w:spacing w:before="0" w:beforeAutospacing="0" w:after="0" w:afterAutospacing="0"/>
        <w:ind w:left="567" w:hanging="567"/>
        <w:jc w:val="both"/>
        <w:outlineLvl w:val="1"/>
      </w:pPr>
      <w:r>
        <w:t>Федеральный закон от 11 ноября 2003 года № 152-ФЗ «Об ипотечных ценных бумагах».</w:t>
      </w:r>
    </w:p>
    <w:p w14:paraId="1F0AD0D2" w14:textId="77777777" w:rsidR="00006A8E" w:rsidRPr="00006A8E" w:rsidRDefault="003E3C20" w:rsidP="00006A8E">
      <w:pPr>
        <w:pStyle w:val="ConsPlusNormal"/>
        <w:numPr>
          <w:ilvl w:val="0"/>
          <w:numId w:val="16"/>
        </w:numPr>
        <w:shd w:val="clear" w:color="auto" w:fill="FFFFFF"/>
        <w:ind w:left="567" w:hanging="567"/>
        <w:jc w:val="both"/>
        <w:rPr>
          <w:rFonts w:ascii="Times New Roman" w:hAnsi="Times New Roman" w:cs="Times New Roman"/>
          <w:sz w:val="24"/>
          <w:szCs w:val="24"/>
        </w:rPr>
      </w:pPr>
      <w:r w:rsidRPr="00006A8E">
        <w:rPr>
          <w:rFonts w:ascii="Times New Roman" w:eastAsiaTheme="minorHAnsi" w:hAnsi="Times New Roman" w:cs="Times New Roman"/>
          <w:sz w:val="24"/>
          <w:szCs w:val="24"/>
          <w:lang w:eastAsia="en-US"/>
        </w:rPr>
        <w:t xml:space="preserve">Федеральный закон от </w:t>
      </w:r>
      <w:r w:rsidR="000B3A13" w:rsidRPr="00006A8E">
        <w:rPr>
          <w:rFonts w:ascii="Times New Roman" w:eastAsiaTheme="minorHAnsi" w:hAnsi="Times New Roman" w:cs="Times New Roman"/>
          <w:sz w:val="24"/>
          <w:szCs w:val="24"/>
          <w:lang w:eastAsia="en-US"/>
        </w:rPr>
        <w:t xml:space="preserve">7 декабря </w:t>
      </w:r>
      <w:r w:rsidR="002C3DC6" w:rsidRPr="00006A8E">
        <w:rPr>
          <w:rFonts w:ascii="Times New Roman" w:eastAsiaTheme="minorHAnsi" w:hAnsi="Times New Roman" w:cs="Times New Roman"/>
          <w:sz w:val="24"/>
          <w:szCs w:val="24"/>
          <w:lang w:eastAsia="en-US"/>
        </w:rPr>
        <w:t>2011</w:t>
      </w:r>
      <w:r w:rsidR="000B3A13" w:rsidRPr="00006A8E">
        <w:rPr>
          <w:rFonts w:ascii="Times New Roman" w:eastAsiaTheme="minorHAnsi" w:hAnsi="Times New Roman" w:cs="Times New Roman"/>
          <w:sz w:val="24"/>
          <w:szCs w:val="24"/>
          <w:lang w:eastAsia="en-US"/>
        </w:rPr>
        <w:t xml:space="preserve"> года</w:t>
      </w:r>
      <w:r w:rsidR="002C3DC6" w:rsidRPr="00006A8E">
        <w:rPr>
          <w:rFonts w:ascii="Times New Roman" w:eastAsiaTheme="minorHAnsi" w:hAnsi="Times New Roman" w:cs="Times New Roman"/>
          <w:sz w:val="24"/>
          <w:szCs w:val="24"/>
          <w:lang w:eastAsia="en-US"/>
        </w:rPr>
        <w:t xml:space="preserve"> № 414-ФЗ «О центральном депозитарии».</w:t>
      </w:r>
    </w:p>
    <w:p w14:paraId="4F0F4B3B" w14:textId="410B14EA" w:rsidR="00006A8E" w:rsidRPr="00006A8E" w:rsidRDefault="00006A8E" w:rsidP="00006A8E">
      <w:pPr>
        <w:pStyle w:val="ConsPlusNormal"/>
        <w:numPr>
          <w:ilvl w:val="0"/>
          <w:numId w:val="16"/>
        </w:numPr>
        <w:shd w:val="clear" w:color="auto" w:fill="FFFFFF"/>
        <w:ind w:left="567" w:hanging="567"/>
        <w:jc w:val="both"/>
        <w:rPr>
          <w:rFonts w:ascii="Times New Roman" w:hAnsi="Times New Roman" w:cs="Times New Roman"/>
          <w:sz w:val="24"/>
          <w:szCs w:val="24"/>
        </w:rPr>
      </w:pPr>
      <w:r w:rsidRPr="00006A8E">
        <w:rPr>
          <w:rFonts w:ascii="Times New Roman" w:hAnsi="Times New Roman" w:cs="Times New Roman"/>
          <w:sz w:val="24"/>
          <w:szCs w:val="24"/>
        </w:rPr>
        <w:t>Федеральный закон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r>
        <w:rPr>
          <w:rFonts w:ascii="Times New Roman" w:hAnsi="Times New Roman" w:cs="Times New Roman"/>
          <w:sz w:val="24"/>
          <w:szCs w:val="24"/>
        </w:rPr>
        <w:t>.</w:t>
      </w:r>
    </w:p>
    <w:p w14:paraId="402DA57A" w14:textId="4035E157" w:rsidR="002C3DC6" w:rsidRPr="00006A8E" w:rsidRDefault="000B3A13" w:rsidP="00006A8E">
      <w:pPr>
        <w:pStyle w:val="a9"/>
        <w:numPr>
          <w:ilvl w:val="0"/>
          <w:numId w:val="16"/>
        </w:numPr>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006A8E">
        <w:rPr>
          <w:rFonts w:ascii="Times New Roman" w:hAnsi="Times New Roman" w:cs="Times New Roman"/>
          <w:sz w:val="24"/>
          <w:szCs w:val="24"/>
        </w:rPr>
        <w:t xml:space="preserve">Федеральный закон от 13 июля </w:t>
      </w:r>
      <w:r w:rsidR="0017422A" w:rsidRPr="00006A8E">
        <w:rPr>
          <w:rFonts w:ascii="Times New Roman" w:hAnsi="Times New Roman" w:cs="Times New Roman"/>
          <w:sz w:val="24"/>
          <w:szCs w:val="24"/>
        </w:rPr>
        <w:t xml:space="preserve">2015 </w:t>
      </w:r>
      <w:r w:rsidRPr="00006A8E">
        <w:rPr>
          <w:rFonts w:ascii="Times New Roman" w:hAnsi="Times New Roman" w:cs="Times New Roman"/>
          <w:sz w:val="24"/>
          <w:szCs w:val="24"/>
        </w:rPr>
        <w:t xml:space="preserve">года </w:t>
      </w:r>
      <w:r w:rsidR="0017422A" w:rsidRPr="00006A8E">
        <w:rPr>
          <w:rFonts w:ascii="Times New Roman" w:hAnsi="Times New Roman" w:cs="Times New Roman"/>
          <w:sz w:val="24"/>
          <w:szCs w:val="24"/>
        </w:rPr>
        <w:t>№</w:t>
      </w:r>
      <w:r w:rsidR="00AE437D" w:rsidRPr="00006A8E">
        <w:rPr>
          <w:rFonts w:ascii="Times New Roman" w:hAnsi="Times New Roman" w:cs="Times New Roman"/>
          <w:sz w:val="24"/>
          <w:szCs w:val="24"/>
        </w:rPr>
        <w:t xml:space="preserve"> 223-ФЗ «</w:t>
      </w:r>
      <w:r w:rsidR="0017422A" w:rsidRPr="00006A8E">
        <w:rPr>
          <w:rFonts w:ascii="Times New Roman" w:hAnsi="Times New Roman" w:cs="Times New Roman"/>
          <w:sz w:val="24"/>
          <w:szCs w:val="24"/>
        </w:rPr>
        <w:t>О саморегулируемых организациях в сфере финансового рынка».</w:t>
      </w:r>
    </w:p>
    <w:p w14:paraId="49AEA682" w14:textId="77777777" w:rsidR="00E037EF" w:rsidRPr="00006A8E" w:rsidRDefault="00E037EF" w:rsidP="00006A8E">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006A8E">
        <w:rPr>
          <w:rFonts w:ascii="Times New Roman" w:hAnsi="Times New Roman" w:cs="Times New Roman"/>
          <w:sz w:val="24"/>
          <w:szCs w:val="24"/>
        </w:rPr>
        <w:t>Указ Президента Российской Федерации от 18 ноября 2015 года № 562 «О Межведомственной комиссии по противодействию финансированию терроризма».</w:t>
      </w:r>
    </w:p>
    <w:p w14:paraId="5B845639" w14:textId="5898786B" w:rsidR="005B66BF" w:rsidRPr="00690FEC" w:rsidRDefault="005B66BF" w:rsidP="00006A8E">
      <w:pPr>
        <w:pStyle w:val="a9"/>
        <w:numPr>
          <w:ilvl w:val="0"/>
          <w:numId w:val="16"/>
        </w:numPr>
        <w:spacing w:after="0" w:line="240" w:lineRule="auto"/>
        <w:ind w:left="567" w:hanging="567"/>
        <w:jc w:val="both"/>
        <w:rPr>
          <w:rFonts w:ascii="Times New Roman" w:hAnsi="Times New Roman" w:cs="Times New Roman"/>
          <w:sz w:val="24"/>
          <w:szCs w:val="24"/>
        </w:rPr>
      </w:pPr>
      <w:r w:rsidRPr="00006A8E">
        <w:rPr>
          <w:rFonts w:ascii="Times New Roman" w:hAnsi="Times New Roman" w:cs="Times New Roman"/>
          <w:sz w:val="24"/>
          <w:szCs w:val="24"/>
        </w:rPr>
        <w:t>Постановление Правительства Российской Федерации от 31 августа 2013 года № 761 «Об утверждении перечня услуг, непосредственно связанных с услугами, которые оказываются в рамках лицензируемой деятельности регистраторами, депозитариями,</w:t>
      </w:r>
      <w:r w:rsidRPr="00690FEC">
        <w:rPr>
          <w:rFonts w:ascii="Times New Roman" w:hAnsi="Times New Roman" w:cs="Times New Roman"/>
          <w:sz w:val="24"/>
          <w:szCs w:val="24"/>
        </w:rPr>
        <w:t xml:space="preserve"> включая специализированные депозитарии и центральный депозитарий, дилерами, брокерами, управляющими ценными бумагами, управляющими компаниями инвестиционных фондов, паевых инвестиционных фондов и негосударственных </w:t>
      </w:r>
      <w:r w:rsidRPr="00690FEC">
        <w:rPr>
          <w:rFonts w:ascii="Times New Roman" w:hAnsi="Times New Roman" w:cs="Times New Roman"/>
          <w:sz w:val="24"/>
          <w:szCs w:val="24"/>
        </w:rPr>
        <w:lastRenderedPageBreak/>
        <w:t>пенсионных фондов, клиринговыми организациями, организаторами торговли, реализация которых освобождается от обложения налогом на добавленную стоимость».</w:t>
      </w:r>
    </w:p>
    <w:p w14:paraId="3E29E421" w14:textId="65273FB3" w:rsidR="00FF7794" w:rsidRPr="00690FEC" w:rsidRDefault="00FF7794"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 xml:space="preserve">Постановление Правительства </w:t>
      </w:r>
      <w:r w:rsidR="00556735" w:rsidRPr="00690FEC">
        <w:rPr>
          <w:rFonts w:ascii="Times New Roman" w:hAnsi="Times New Roman" w:cs="Times New Roman"/>
          <w:sz w:val="24"/>
          <w:szCs w:val="24"/>
        </w:rPr>
        <w:t xml:space="preserve">Российской Федерации от 29 мая </w:t>
      </w:r>
      <w:r w:rsidRPr="00690FEC">
        <w:rPr>
          <w:rFonts w:ascii="Times New Roman" w:hAnsi="Times New Roman" w:cs="Times New Roman"/>
          <w:sz w:val="24"/>
          <w:szCs w:val="24"/>
        </w:rPr>
        <w:t xml:space="preserve">2014 </w:t>
      </w:r>
      <w:r w:rsidR="00556735" w:rsidRPr="00690FEC">
        <w:rPr>
          <w:rFonts w:ascii="Times New Roman" w:hAnsi="Times New Roman" w:cs="Times New Roman"/>
          <w:sz w:val="24"/>
          <w:szCs w:val="24"/>
        </w:rPr>
        <w:t xml:space="preserve">года </w:t>
      </w:r>
      <w:r w:rsidRPr="00690FEC">
        <w:rPr>
          <w:rFonts w:ascii="Times New Roman" w:hAnsi="Times New Roman" w:cs="Times New Roman"/>
          <w:sz w:val="24"/>
          <w:szCs w:val="24"/>
        </w:rPr>
        <w:t xml:space="preserve">№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w:t>
      </w:r>
      <w:proofErr w:type="spellStart"/>
      <w:r w:rsidRPr="00690FEC">
        <w:rPr>
          <w:rFonts w:ascii="Times New Roman" w:hAnsi="Times New Roman" w:cs="Times New Roman"/>
          <w:sz w:val="24"/>
          <w:szCs w:val="24"/>
        </w:rPr>
        <w:t>бенефициарных</w:t>
      </w:r>
      <w:proofErr w:type="spellEnd"/>
      <w:r w:rsidRPr="00690FEC">
        <w:rPr>
          <w:rFonts w:ascii="Times New Roman" w:hAnsi="Times New Roman" w:cs="Times New Roman"/>
          <w:sz w:val="24"/>
          <w:szCs w:val="24"/>
        </w:rPr>
        <w:t xml:space="preserve">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w:t>
      </w:r>
    </w:p>
    <w:p w14:paraId="718FBB39" w14:textId="11B62784" w:rsidR="00E037EF" w:rsidRDefault="00E037EF"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Постановлени</w:t>
      </w:r>
      <w:r w:rsidR="002C2DAF" w:rsidRPr="00690FEC">
        <w:rPr>
          <w:rFonts w:ascii="Times New Roman" w:hAnsi="Times New Roman" w:cs="Times New Roman"/>
          <w:sz w:val="24"/>
          <w:szCs w:val="24"/>
        </w:rPr>
        <w:t>е</w:t>
      </w:r>
      <w:r w:rsidRPr="00690FEC">
        <w:rPr>
          <w:rFonts w:ascii="Times New Roman" w:hAnsi="Times New Roman" w:cs="Times New Roman"/>
          <w:sz w:val="24"/>
          <w:szCs w:val="24"/>
        </w:rPr>
        <w:t xml:space="preserve"> Правительства Российской Федерации от 06 августа 2015 года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w:t>
      </w:r>
    </w:p>
    <w:p w14:paraId="05A755CF" w14:textId="77777777" w:rsidR="00951FE6" w:rsidRPr="00690FEC" w:rsidRDefault="00951FE6" w:rsidP="00951FE6">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Указание Банка России от 13 октября 2014 года № 3417-У «О порядке присвоения и аннулирования государственных регистрационных номеров или идентификационных номеров выпускам (дополнительным выпускам) эмиссионных ценных бумаг».</w:t>
      </w:r>
    </w:p>
    <w:p w14:paraId="56EE8DB4" w14:textId="77777777" w:rsidR="00E037EF" w:rsidRPr="00690FEC" w:rsidRDefault="00E037EF"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 xml:space="preserve">Указание Банка России от 05 декабря 2014 года № 3470-У «О квалификационных требованиях к специальным должностным лицам, ответственным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w:t>
      </w:r>
      <w:proofErr w:type="spellStart"/>
      <w:r w:rsidRPr="00690FEC">
        <w:rPr>
          <w:rFonts w:ascii="Times New Roman" w:hAnsi="Times New Roman" w:cs="Times New Roman"/>
          <w:sz w:val="24"/>
          <w:szCs w:val="24"/>
        </w:rPr>
        <w:t>некредитных</w:t>
      </w:r>
      <w:proofErr w:type="spellEnd"/>
      <w:r w:rsidRPr="00690FEC">
        <w:rPr>
          <w:rFonts w:ascii="Times New Roman" w:hAnsi="Times New Roman" w:cs="Times New Roman"/>
          <w:sz w:val="24"/>
          <w:szCs w:val="24"/>
        </w:rPr>
        <w:t xml:space="preserve"> финансовых организациях».</w:t>
      </w:r>
    </w:p>
    <w:p w14:paraId="18BF0783" w14:textId="77777777" w:rsidR="00E037EF" w:rsidRPr="00690FEC" w:rsidRDefault="00E037EF"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 xml:space="preserve">Указание Банка России от 05 декабря 2014 года № 3471-У «О требованиях к подготовке и обучению кадров в </w:t>
      </w:r>
      <w:proofErr w:type="spellStart"/>
      <w:r w:rsidRPr="00690FEC">
        <w:rPr>
          <w:rFonts w:ascii="Times New Roman" w:hAnsi="Times New Roman" w:cs="Times New Roman"/>
          <w:sz w:val="24"/>
          <w:szCs w:val="24"/>
        </w:rPr>
        <w:t>некредитных</w:t>
      </w:r>
      <w:proofErr w:type="spellEnd"/>
      <w:r w:rsidRPr="00690FEC">
        <w:rPr>
          <w:rFonts w:ascii="Times New Roman" w:hAnsi="Times New Roman" w:cs="Times New Roman"/>
          <w:sz w:val="24"/>
          <w:szCs w:val="24"/>
        </w:rPr>
        <w:t xml:space="preserve"> финансовых организациях». </w:t>
      </w:r>
    </w:p>
    <w:p w14:paraId="738FED40" w14:textId="77777777" w:rsidR="00E037EF" w:rsidRPr="00690FEC" w:rsidRDefault="00E037EF"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 xml:space="preserve">Указание Банка России от 15 декабря 2014 года № 3484-У «О порядке представления </w:t>
      </w:r>
      <w:proofErr w:type="spellStart"/>
      <w:r w:rsidRPr="00690FEC">
        <w:rPr>
          <w:rFonts w:ascii="Times New Roman" w:hAnsi="Times New Roman" w:cs="Times New Roman"/>
          <w:sz w:val="24"/>
          <w:szCs w:val="24"/>
        </w:rPr>
        <w:t>некредитными</w:t>
      </w:r>
      <w:proofErr w:type="spellEnd"/>
      <w:r w:rsidRPr="00690FEC">
        <w:rPr>
          <w:rFonts w:ascii="Times New Roman" w:hAnsi="Times New Roman" w:cs="Times New Roman"/>
          <w:sz w:val="24"/>
          <w:szCs w:val="24"/>
        </w:rPr>
        <w:t xml:space="preserve"> финансовыми организациями в уполномоченный орган сведений, предусмотренных Федеральным законом «О противодействии легализации (отмыванию) доходов, полученных преступным путем, и финансированию терроризма».</w:t>
      </w:r>
    </w:p>
    <w:p w14:paraId="738DA715" w14:textId="77777777" w:rsidR="00E037EF" w:rsidRPr="00690FEC" w:rsidRDefault="00E037EF"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 xml:space="preserve">Указание Банка России от 28 декабря 2014 года № 3510-У «О порядке и сроках направления уведомления лицом, получившим право распоряжения 10 и более процентами голосов, приходящихся на голосующие акции (доли), составляющие уставный капитал </w:t>
      </w:r>
      <w:proofErr w:type="spellStart"/>
      <w:r w:rsidRPr="00690FEC">
        <w:rPr>
          <w:rFonts w:ascii="Times New Roman" w:hAnsi="Times New Roman" w:cs="Times New Roman"/>
          <w:sz w:val="24"/>
          <w:szCs w:val="24"/>
        </w:rPr>
        <w:t>некредитной</w:t>
      </w:r>
      <w:proofErr w:type="spellEnd"/>
      <w:r w:rsidRPr="00690FEC">
        <w:rPr>
          <w:rFonts w:ascii="Times New Roman" w:hAnsi="Times New Roman" w:cs="Times New Roman"/>
          <w:sz w:val="24"/>
          <w:szCs w:val="24"/>
        </w:rPr>
        <w:t xml:space="preserve"> финансовой организации, а также порядке запроса Банком России информации о лицах, которые прямо или косвенно имеют право распоряжения 10 и более процентами голосов, приходящихся на голосующие акции (доли), составляющие уставный капитал </w:t>
      </w:r>
      <w:proofErr w:type="spellStart"/>
      <w:r w:rsidRPr="00690FEC">
        <w:rPr>
          <w:rFonts w:ascii="Times New Roman" w:hAnsi="Times New Roman" w:cs="Times New Roman"/>
          <w:sz w:val="24"/>
          <w:szCs w:val="24"/>
        </w:rPr>
        <w:t>некредитной</w:t>
      </w:r>
      <w:proofErr w:type="spellEnd"/>
      <w:r w:rsidRPr="00690FEC">
        <w:rPr>
          <w:rFonts w:ascii="Times New Roman" w:hAnsi="Times New Roman" w:cs="Times New Roman"/>
          <w:sz w:val="24"/>
          <w:szCs w:val="24"/>
        </w:rPr>
        <w:t xml:space="preserve"> финансовой организации».</w:t>
      </w:r>
    </w:p>
    <w:p w14:paraId="04663B1B" w14:textId="4826051B" w:rsidR="000C4394" w:rsidRPr="00690FEC" w:rsidRDefault="000C4394"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Указание Банка</w:t>
      </w:r>
      <w:r w:rsidR="00556735" w:rsidRPr="00690FEC">
        <w:rPr>
          <w:rFonts w:ascii="Times New Roman" w:hAnsi="Times New Roman" w:cs="Times New Roman"/>
          <w:sz w:val="24"/>
          <w:szCs w:val="24"/>
        </w:rPr>
        <w:t xml:space="preserve"> России от 15 января </w:t>
      </w:r>
      <w:r w:rsidR="000728D8" w:rsidRPr="00690FEC">
        <w:rPr>
          <w:rFonts w:ascii="Times New Roman" w:hAnsi="Times New Roman" w:cs="Times New Roman"/>
          <w:sz w:val="24"/>
          <w:szCs w:val="24"/>
        </w:rPr>
        <w:t xml:space="preserve">2015 </w:t>
      </w:r>
      <w:r w:rsidR="00556735" w:rsidRPr="00690FEC">
        <w:rPr>
          <w:rFonts w:ascii="Times New Roman" w:hAnsi="Times New Roman" w:cs="Times New Roman"/>
          <w:sz w:val="24"/>
          <w:szCs w:val="24"/>
        </w:rPr>
        <w:t>года №</w:t>
      </w:r>
      <w:r w:rsidR="000728D8" w:rsidRPr="00690FEC">
        <w:rPr>
          <w:rFonts w:ascii="Times New Roman" w:hAnsi="Times New Roman" w:cs="Times New Roman"/>
          <w:sz w:val="24"/>
          <w:szCs w:val="24"/>
        </w:rPr>
        <w:t xml:space="preserve"> 3533-У «</w:t>
      </w:r>
      <w:r w:rsidRPr="00690FEC">
        <w:rPr>
          <w:rFonts w:ascii="Times New Roman" w:hAnsi="Times New Roman" w:cs="Times New Roman"/>
          <w:sz w:val="24"/>
          <w:szCs w:val="24"/>
        </w:rPr>
        <w:t>О сроках и порядке составления и представления отчетности профессиональных участников рынка ценных бумаг в Централ</w:t>
      </w:r>
      <w:r w:rsidR="000728D8" w:rsidRPr="00690FEC">
        <w:rPr>
          <w:rFonts w:ascii="Times New Roman" w:hAnsi="Times New Roman" w:cs="Times New Roman"/>
          <w:sz w:val="24"/>
          <w:szCs w:val="24"/>
        </w:rPr>
        <w:t>ьный банк Российской Федерации».</w:t>
      </w:r>
    </w:p>
    <w:p w14:paraId="69B4D82B" w14:textId="77777777" w:rsidR="00E037EF" w:rsidRPr="00690FEC" w:rsidRDefault="00E037EF"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Указание Банка России от 15 июня 2015 года № 3680-У «О требованиях к порядку и форме предоставления иностранными организациями, действующими в интересах других лиц, информации о владельцах ценных бумаг и об иных лицах, осуществляющих права по ценным бумагам, а также о количестве ценных бумаг, которыми владеют такие лица».</w:t>
      </w:r>
    </w:p>
    <w:p w14:paraId="08E5030C" w14:textId="20680404" w:rsidR="003D0B9D" w:rsidRPr="00690FEC" w:rsidRDefault="003D0B9D" w:rsidP="00ED3535">
      <w:pPr>
        <w:pStyle w:val="af5"/>
        <w:numPr>
          <w:ilvl w:val="0"/>
          <w:numId w:val="16"/>
        </w:numPr>
        <w:spacing w:before="0" w:beforeAutospacing="0" w:after="0" w:afterAutospacing="0"/>
        <w:ind w:left="567" w:hanging="567"/>
        <w:jc w:val="both"/>
      </w:pPr>
      <w:r w:rsidRPr="00690FEC">
        <w:t>Указание Банка России от 28 дек</w:t>
      </w:r>
      <w:r w:rsidR="00F4074D" w:rsidRPr="00690FEC">
        <w:t xml:space="preserve">абря 2015 года № </w:t>
      </w:r>
      <w:r w:rsidRPr="00690FEC">
        <w:t>3921-У «О составе, объеме, порядке и сроках раскрытия информации профессиональными участниками рынка ценных бумаг».</w:t>
      </w:r>
    </w:p>
    <w:p w14:paraId="024B2BE5" w14:textId="578054B8" w:rsidR="00FE029C" w:rsidRPr="00690FEC" w:rsidRDefault="00FE029C"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iCs/>
          <w:sz w:val="24"/>
          <w:szCs w:val="24"/>
        </w:rPr>
      </w:pPr>
      <w:r w:rsidRPr="00690FEC">
        <w:rPr>
          <w:rFonts w:ascii="Times New Roman" w:hAnsi="Times New Roman" w:cs="Times New Roman"/>
          <w:sz w:val="24"/>
          <w:szCs w:val="24"/>
        </w:rPr>
        <w:t>Указание Бан</w:t>
      </w:r>
      <w:r w:rsidR="009F7C2C" w:rsidRPr="00690FEC">
        <w:rPr>
          <w:rFonts w:ascii="Times New Roman" w:hAnsi="Times New Roman" w:cs="Times New Roman"/>
          <w:sz w:val="24"/>
          <w:szCs w:val="24"/>
        </w:rPr>
        <w:t>ка России от 14 марта 2016 года</w:t>
      </w:r>
      <w:r w:rsidR="00F4074D" w:rsidRPr="00690FEC">
        <w:rPr>
          <w:rFonts w:ascii="Times New Roman" w:hAnsi="Times New Roman" w:cs="Times New Roman"/>
          <w:sz w:val="24"/>
          <w:szCs w:val="24"/>
        </w:rPr>
        <w:t xml:space="preserve"> № </w:t>
      </w:r>
      <w:r w:rsidRPr="00690FEC">
        <w:rPr>
          <w:rFonts w:ascii="Times New Roman" w:hAnsi="Times New Roman" w:cs="Times New Roman"/>
          <w:sz w:val="24"/>
          <w:szCs w:val="24"/>
        </w:rPr>
        <w:t xml:space="preserve">3980-У «О единых требованиях к проведению депозитарием и регистратором сверки соответствия количества ценных </w:t>
      </w:r>
      <w:r w:rsidRPr="00690FEC">
        <w:rPr>
          <w:rFonts w:ascii="Times New Roman" w:hAnsi="Times New Roman" w:cs="Times New Roman"/>
          <w:sz w:val="24"/>
          <w:szCs w:val="24"/>
        </w:rPr>
        <w:lastRenderedPageBreak/>
        <w:t>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p w14:paraId="73EBC6D2" w14:textId="77777777" w:rsidR="00E037EF" w:rsidRPr="00690FEC" w:rsidRDefault="00E037EF"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iCs/>
          <w:sz w:val="24"/>
          <w:szCs w:val="24"/>
        </w:rPr>
      </w:pPr>
      <w:r w:rsidRPr="00690FEC">
        <w:rPr>
          <w:rFonts w:ascii="Times New Roman" w:hAnsi="Times New Roman" w:cs="Times New Roman"/>
          <w:sz w:val="24"/>
          <w:szCs w:val="24"/>
        </w:rPr>
        <w:t>Указание Банка России от 05 мая 2016 года № 4012-У «О порядке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предоставлении сведений о счетах, вкладах, ценных бумагах кандидатов в депутаты или на иные выборные должности, их супругов и несовершеннолетних детей, а также порядке и сроках направления кредитными организациями, держателями реестра и депозитариями ответов на соответствующие запросы».</w:t>
      </w:r>
    </w:p>
    <w:p w14:paraId="00B2DF5C" w14:textId="48886DC8" w:rsidR="008B4371" w:rsidRPr="00690FEC" w:rsidRDefault="008B4371" w:rsidP="00E2672D">
      <w:pPr>
        <w:pStyle w:val="a9"/>
        <w:numPr>
          <w:ilvl w:val="0"/>
          <w:numId w:val="16"/>
        </w:numPr>
        <w:autoSpaceDE w:val="0"/>
        <w:autoSpaceDN w:val="0"/>
        <w:adjustRightInd w:val="0"/>
        <w:spacing w:after="0" w:line="240" w:lineRule="auto"/>
        <w:ind w:left="540" w:hanging="567"/>
        <w:jc w:val="both"/>
        <w:rPr>
          <w:rFonts w:ascii="Times New Roman" w:hAnsi="Times New Roman" w:cs="Times New Roman"/>
          <w:sz w:val="24"/>
          <w:szCs w:val="24"/>
        </w:rPr>
      </w:pPr>
      <w:r w:rsidRPr="00690FEC">
        <w:rPr>
          <w:rFonts w:ascii="Times New Roman" w:hAnsi="Times New Roman" w:cs="Times New Roman"/>
          <w:sz w:val="24"/>
          <w:szCs w:val="24"/>
        </w:rPr>
        <w:t>Указание Банка России от 23 августа 2016 года № 4107-У «О порядке раскрытия (предоставления) информации эмитентом в случае замены держателя реестра владельцев ценных бумаг».</w:t>
      </w:r>
    </w:p>
    <w:p w14:paraId="1ACB8CC3" w14:textId="71D52921" w:rsidR="00D940FD" w:rsidRPr="00690FEC" w:rsidRDefault="00D940FD" w:rsidP="00B04315">
      <w:pPr>
        <w:pStyle w:val="a9"/>
        <w:numPr>
          <w:ilvl w:val="0"/>
          <w:numId w:val="16"/>
        </w:numPr>
        <w:autoSpaceDE w:val="0"/>
        <w:autoSpaceDN w:val="0"/>
        <w:adjustRightInd w:val="0"/>
        <w:spacing w:after="0" w:line="240" w:lineRule="auto"/>
        <w:ind w:left="540" w:hanging="567"/>
        <w:jc w:val="both"/>
        <w:rPr>
          <w:rFonts w:ascii="Times New Roman" w:hAnsi="Times New Roman" w:cs="Times New Roman"/>
          <w:sz w:val="24"/>
          <w:szCs w:val="24"/>
        </w:rPr>
      </w:pPr>
      <w:r w:rsidRPr="00690FEC">
        <w:rPr>
          <w:rFonts w:ascii="Times New Roman" w:hAnsi="Times New Roman" w:cs="Times New Roman"/>
          <w:sz w:val="24"/>
          <w:szCs w:val="24"/>
        </w:rPr>
        <w:t>Указание Банка России от 11 мая 2017 года № 4373-У «О требованиях к собственным средствам профессиональных участников рынка ценных бумаг».</w:t>
      </w:r>
    </w:p>
    <w:p w14:paraId="00D95AFA" w14:textId="59733B09" w:rsidR="00645A80" w:rsidRPr="00690FEC" w:rsidRDefault="00645A80" w:rsidP="00B04315">
      <w:pPr>
        <w:pStyle w:val="a9"/>
        <w:numPr>
          <w:ilvl w:val="0"/>
          <w:numId w:val="16"/>
        </w:numPr>
        <w:autoSpaceDE w:val="0"/>
        <w:autoSpaceDN w:val="0"/>
        <w:adjustRightInd w:val="0"/>
        <w:spacing w:after="0" w:line="240" w:lineRule="auto"/>
        <w:ind w:left="540" w:hanging="567"/>
        <w:jc w:val="both"/>
        <w:rPr>
          <w:rFonts w:ascii="Times New Roman" w:hAnsi="Times New Roman" w:cs="Times New Roman"/>
          <w:sz w:val="24"/>
          <w:szCs w:val="24"/>
        </w:rPr>
      </w:pPr>
      <w:r w:rsidRPr="00690FEC">
        <w:rPr>
          <w:rFonts w:ascii="Times New Roman" w:hAnsi="Times New Roman" w:cs="Times New Roman"/>
          <w:sz w:val="24"/>
          <w:szCs w:val="24"/>
        </w:rPr>
        <w:t>Указание Банка России от 10 июля 2017 года № 4455-У «Об утверждении программы квалификационного экзамена для аттестации граждан в сфере деятельности по ведению реестра владельцев ценных бумаг».</w:t>
      </w:r>
    </w:p>
    <w:p w14:paraId="0793CCFF" w14:textId="588DC902" w:rsidR="005A1899" w:rsidRPr="00690FEC" w:rsidRDefault="005A1899" w:rsidP="00B04315">
      <w:pPr>
        <w:pStyle w:val="a9"/>
        <w:numPr>
          <w:ilvl w:val="0"/>
          <w:numId w:val="16"/>
        </w:numPr>
        <w:autoSpaceDE w:val="0"/>
        <w:autoSpaceDN w:val="0"/>
        <w:adjustRightInd w:val="0"/>
        <w:spacing w:after="0" w:line="240" w:lineRule="auto"/>
        <w:ind w:left="540" w:hanging="567"/>
        <w:jc w:val="both"/>
        <w:rPr>
          <w:rFonts w:ascii="Times New Roman" w:hAnsi="Times New Roman" w:cs="Times New Roman"/>
          <w:sz w:val="24"/>
          <w:szCs w:val="24"/>
        </w:rPr>
      </w:pPr>
      <w:r w:rsidRPr="00690FEC">
        <w:rPr>
          <w:rFonts w:ascii="Times New Roman" w:hAnsi="Times New Roman" w:cs="Times New Roman"/>
          <w:sz w:val="24"/>
          <w:szCs w:val="24"/>
        </w:rPr>
        <w:t>Указание Банка России от 21 августа 2017 года № 4501-У «О требованиях к организации профессиональным участником рынка ценных бумаг системы управления рисками, связанными с осуществлением профессиональной деятельности на рынке ценных бумаг и с осуществлением операций с собственным имуществом, в зависимости от вида деятельности и характера совершаемых операций».</w:t>
      </w:r>
    </w:p>
    <w:p w14:paraId="62A43459" w14:textId="77777777" w:rsidR="00E037EF" w:rsidRPr="00690FEC" w:rsidRDefault="00E037EF" w:rsidP="00ED3535">
      <w:pPr>
        <w:pStyle w:val="a9"/>
        <w:numPr>
          <w:ilvl w:val="0"/>
          <w:numId w:val="16"/>
        </w:numPr>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690FEC">
        <w:rPr>
          <w:rFonts w:ascii="Times New Roman" w:hAnsi="Times New Roman" w:cs="Times New Roman"/>
          <w:sz w:val="24"/>
          <w:szCs w:val="24"/>
        </w:rPr>
        <w:t xml:space="preserve">Положение Банка России от 12 декабря 2014 года № 444-П «Об идентификации </w:t>
      </w:r>
      <w:proofErr w:type="spellStart"/>
      <w:r w:rsidRPr="00690FEC">
        <w:rPr>
          <w:rFonts w:ascii="Times New Roman" w:hAnsi="Times New Roman" w:cs="Times New Roman"/>
          <w:sz w:val="24"/>
          <w:szCs w:val="24"/>
        </w:rPr>
        <w:t>некредитными</w:t>
      </w:r>
      <w:proofErr w:type="spellEnd"/>
      <w:r w:rsidRPr="00690FEC">
        <w:rPr>
          <w:rFonts w:ascii="Times New Roman" w:hAnsi="Times New Roman" w:cs="Times New Roman"/>
          <w:sz w:val="24"/>
          <w:szCs w:val="24"/>
        </w:rPr>
        <w:t xml:space="preserve"> финансовыми организациями клиентов, представителей клиента, выгодоприобретателей, </w:t>
      </w:r>
      <w:proofErr w:type="spellStart"/>
      <w:r w:rsidRPr="00690FEC">
        <w:rPr>
          <w:rFonts w:ascii="Times New Roman" w:hAnsi="Times New Roman" w:cs="Times New Roman"/>
          <w:sz w:val="24"/>
          <w:szCs w:val="24"/>
        </w:rPr>
        <w:t>бенефициарных</w:t>
      </w:r>
      <w:proofErr w:type="spellEnd"/>
      <w:r w:rsidRPr="00690FEC">
        <w:rPr>
          <w:rFonts w:ascii="Times New Roman" w:hAnsi="Times New Roman" w:cs="Times New Roman"/>
          <w:sz w:val="24"/>
          <w:szCs w:val="24"/>
        </w:rPr>
        <w:t xml:space="preserve"> владельцев в целях противодействия легализации (отмыванию) доходов, полученных преступным путем, и финансированию терроризма».</w:t>
      </w:r>
    </w:p>
    <w:p w14:paraId="5F67987C" w14:textId="77777777" w:rsidR="003D0B9D" w:rsidRPr="00690FEC" w:rsidRDefault="003D0B9D" w:rsidP="00ED3535">
      <w:pPr>
        <w:pStyle w:val="a9"/>
        <w:numPr>
          <w:ilvl w:val="0"/>
          <w:numId w:val="16"/>
        </w:numPr>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690FEC">
        <w:rPr>
          <w:rFonts w:ascii="Times New Roman" w:hAnsi="Times New Roman" w:cs="Times New Roman"/>
          <w:sz w:val="24"/>
          <w:szCs w:val="24"/>
        </w:rPr>
        <w:t xml:space="preserve">Положение Банка России от 14 декабря 2014 года № 445-П «О требованиях к правилам внутреннего контроля </w:t>
      </w:r>
      <w:proofErr w:type="spellStart"/>
      <w:r w:rsidRPr="00690FEC">
        <w:rPr>
          <w:rFonts w:ascii="Times New Roman" w:hAnsi="Times New Roman" w:cs="Times New Roman"/>
          <w:sz w:val="24"/>
          <w:szCs w:val="24"/>
        </w:rPr>
        <w:t>некредитных</w:t>
      </w:r>
      <w:proofErr w:type="spellEnd"/>
      <w:r w:rsidRPr="00690FEC">
        <w:rPr>
          <w:rFonts w:ascii="Times New Roman" w:hAnsi="Times New Roman" w:cs="Times New Roman"/>
          <w:sz w:val="24"/>
          <w:szCs w:val="24"/>
        </w:rPr>
        <w:t xml:space="preserve"> финансовых организаций в целях противодействия легализации (отмыванию) доходов, полученных преступным путем, и финансированию терроризма».</w:t>
      </w:r>
    </w:p>
    <w:p w14:paraId="0545FD06" w14:textId="3E01B6FF" w:rsidR="00CF3F74" w:rsidRPr="00690FEC" w:rsidRDefault="00CF3F74" w:rsidP="00ED3535">
      <w:pPr>
        <w:pStyle w:val="a9"/>
        <w:numPr>
          <w:ilvl w:val="0"/>
          <w:numId w:val="16"/>
        </w:numPr>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690FEC">
        <w:rPr>
          <w:rFonts w:ascii="Times New Roman" w:hAnsi="Times New Roman" w:cs="Times New Roman"/>
          <w:sz w:val="24"/>
          <w:szCs w:val="24"/>
        </w:rPr>
        <w:t>Положение Банка России от 05 июля 2015 года № 477-П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w:t>
      </w:r>
    </w:p>
    <w:p w14:paraId="5193F3A3" w14:textId="195825A6" w:rsidR="00FA7DBA" w:rsidRPr="00690FEC" w:rsidRDefault="00FA7DBA"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iCs/>
          <w:sz w:val="24"/>
          <w:szCs w:val="24"/>
        </w:rPr>
      </w:pPr>
      <w:r w:rsidRPr="00690FEC">
        <w:rPr>
          <w:rFonts w:ascii="Times New Roman" w:hAnsi="Times New Roman" w:cs="Times New Roman"/>
          <w:iCs/>
          <w:sz w:val="24"/>
          <w:szCs w:val="24"/>
        </w:rPr>
        <w:t xml:space="preserve">Положение </w:t>
      </w:r>
      <w:r w:rsidR="006960FB" w:rsidRPr="00690FEC">
        <w:rPr>
          <w:rFonts w:ascii="Times New Roman" w:hAnsi="Times New Roman" w:cs="Times New Roman"/>
          <w:iCs/>
          <w:sz w:val="24"/>
          <w:szCs w:val="24"/>
        </w:rPr>
        <w:t>Банка России от 27 июля 2015 года № 481-П «О</w:t>
      </w:r>
      <w:r w:rsidRPr="00690FEC">
        <w:rPr>
          <w:rFonts w:ascii="Times New Roman" w:hAnsi="Times New Roman" w:cs="Times New Roman"/>
          <w:iCs/>
          <w:sz w:val="24"/>
          <w:szCs w:val="24"/>
        </w:rPr>
        <w:t xml:space="preserve"> 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w:t>
      </w:r>
      <w:r w:rsidR="00C803DA" w:rsidRPr="00690FEC">
        <w:rPr>
          <w:rFonts w:ascii="Times New Roman" w:hAnsi="Times New Roman" w:cs="Times New Roman"/>
          <w:iCs/>
          <w:sz w:val="24"/>
          <w:szCs w:val="24"/>
        </w:rPr>
        <w:t>го участника рынка ценных бумаг»</w:t>
      </w:r>
      <w:r w:rsidR="006960FB" w:rsidRPr="00690FEC">
        <w:rPr>
          <w:rFonts w:ascii="Times New Roman" w:hAnsi="Times New Roman" w:cs="Times New Roman"/>
          <w:sz w:val="24"/>
          <w:szCs w:val="24"/>
        </w:rPr>
        <w:t>.</w:t>
      </w:r>
    </w:p>
    <w:p w14:paraId="4CAE01E3" w14:textId="7BB37DBC" w:rsidR="00C369F5" w:rsidRPr="00690FEC" w:rsidRDefault="00C369F5"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iCs/>
          <w:sz w:val="24"/>
          <w:szCs w:val="24"/>
        </w:rPr>
      </w:pPr>
      <w:r w:rsidRPr="00690FEC">
        <w:rPr>
          <w:rFonts w:ascii="Times New Roman" w:hAnsi="Times New Roman" w:cs="Times New Roman"/>
          <w:sz w:val="24"/>
          <w:szCs w:val="24"/>
        </w:rPr>
        <w:t>Положение Банка России от 21 октября 2015 года «О порядке приостановления и возобновления эмиссии ценных бумаг, признания выпуска (дополнительного выпуска) эмиссионных ценных бумаг несостоявшимся».</w:t>
      </w:r>
    </w:p>
    <w:p w14:paraId="6CFB61D9" w14:textId="23F8E173" w:rsidR="00B579AF" w:rsidRPr="00690FEC" w:rsidRDefault="00B579AF"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 xml:space="preserve">Положение </w:t>
      </w:r>
      <w:r w:rsidR="006960FB" w:rsidRPr="00690FEC">
        <w:rPr>
          <w:rFonts w:ascii="Times New Roman" w:hAnsi="Times New Roman" w:cs="Times New Roman"/>
          <w:sz w:val="24"/>
          <w:szCs w:val="24"/>
        </w:rPr>
        <w:t>Банка России от 18 января 2016 года № 529-П «О</w:t>
      </w:r>
      <w:r w:rsidRPr="00690FEC">
        <w:rPr>
          <w:rFonts w:ascii="Times New Roman" w:hAnsi="Times New Roman" w:cs="Times New Roman"/>
          <w:sz w:val="24"/>
          <w:szCs w:val="24"/>
        </w:rPr>
        <w:t xml:space="preserve"> порядке приостановления, возобновления действия лицензии на осуществление профессиональной деятельности на рынке ценных бумаг, о порядке принятия Банком России решения об аннулировании лицензии на осуществление профессиональной деятельности на рынке ценных бумаг, об установлении сроков принятия такого решения в случаях, установленных подпунктами 2 - 12 пункта 1 и подпунктом 3 </w:t>
      </w:r>
      <w:r w:rsidRPr="00690FEC">
        <w:rPr>
          <w:rFonts w:ascii="Times New Roman" w:hAnsi="Times New Roman" w:cs="Times New Roman"/>
          <w:sz w:val="24"/>
          <w:szCs w:val="24"/>
        </w:rPr>
        <w:lastRenderedPageBreak/>
        <w:t xml:space="preserve">пункта 2 статьи 39.1 Федерального закона от 22 апреля 1996 года </w:t>
      </w:r>
      <w:r w:rsidR="003E3C20" w:rsidRPr="00690FEC">
        <w:rPr>
          <w:rFonts w:ascii="Times New Roman" w:hAnsi="Times New Roman" w:cs="Times New Roman"/>
          <w:sz w:val="24"/>
          <w:szCs w:val="24"/>
        </w:rPr>
        <w:t>№</w:t>
      </w:r>
      <w:r w:rsidRPr="00690FEC">
        <w:rPr>
          <w:rFonts w:ascii="Times New Roman" w:hAnsi="Times New Roman" w:cs="Times New Roman"/>
          <w:sz w:val="24"/>
          <w:szCs w:val="24"/>
        </w:rPr>
        <w:t xml:space="preserve"> 39-ФЗ «О рынке ценных бумаг», а также об установлении исчерпывающего перечня прилагаемых к заявлению об аннулировании лицензии документов»</w:t>
      </w:r>
      <w:r w:rsidR="006960FB" w:rsidRPr="00690FEC">
        <w:rPr>
          <w:rFonts w:ascii="Times New Roman" w:hAnsi="Times New Roman" w:cs="Times New Roman"/>
          <w:sz w:val="24"/>
          <w:szCs w:val="24"/>
        </w:rPr>
        <w:t>.</w:t>
      </w:r>
    </w:p>
    <w:p w14:paraId="082C0A05" w14:textId="16B01B8D" w:rsidR="00B579AF" w:rsidRPr="00690FEC" w:rsidRDefault="00B579AF"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 xml:space="preserve">Положение </w:t>
      </w:r>
      <w:r w:rsidR="006960FB" w:rsidRPr="00690FEC">
        <w:rPr>
          <w:rFonts w:ascii="Times New Roman" w:hAnsi="Times New Roman" w:cs="Times New Roman"/>
          <w:sz w:val="24"/>
          <w:szCs w:val="24"/>
        </w:rPr>
        <w:t>Банка России от 1 июня 2016 года № 546-П «О</w:t>
      </w:r>
      <w:r w:rsidRPr="00690FEC">
        <w:rPr>
          <w:rFonts w:ascii="Times New Roman" w:hAnsi="Times New Roman" w:cs="Times New Roman"/>
          <w:sz w:val="24"/>
          <w:szCs w:val="24"/>
        </w:rPr>
        <w:t xml:space="preserve">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r w:rsidR="006960FB" w:rsidRPr="00690FEC">
        <w:rPr>
          <w:rFonts w:ascii="Times New Roman" w:hAnsi="Times New Roman" w:cs="Times New Roman"/>
          <w:sz w:val="24"/>
          <w:szCs w:val="24"/>
        </w:rPr>
        <w:t>.</w:t>
      </w:r>
    </w:p>
    <w:p w14:paraId="1568B6A7" w14:textId="199000BF" w:rsidR="00556735" w:rsidRPr="00690FEC" w:rsidRDefault="00556735"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Положение Банка России от 19 июля 2016 года № 548-П «О порядке расчета собственных средств профессиональных участников рынка ценных бумаг, а также соискателей лицензии профессионального участника рынка ценных бумаг».</w:t>
      </w:r>
    </w:p>
    <w:p w14:paraId="076996D6" w14:textId="77777777" w:rsidR="00BB42DF" w:rsidRPr="00690FEC" w:rsidRDefault="009C3875" w:rsidP="00217440">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Положение Банка России от 27 декабря 2016 года № 572-П «Положение о требованиях к осуществлению деятельности по ведению реестра владельцев ценных бумаг».</w:t>
      </w:r>
    </w:p>
    <w:p w14:paraId="2F8A34EA" w14:textId="5FAF1DF9" w:rsidR="00BB42DF" w:rsidRPr="00690FEC" w:rsidRDefault="00BB42DF" w:rsidP="00217440">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 xml:space="preserve">Положение Банка России от 20 сентября 2017 года </w:t>
      </w:r>
      <w:r w:rsidR="00F46E34" w:rsidRPr="00690FEC">
        <w:rPr>
          <w:rFonts w:ascii="Times New Roman" w:hAnsi="Times New Roman" w:cs="Times New Roman"/>
          <w:sz w:val="24"/>
          <w:szCs w:val="24"/>
        </w:rPr>
        <w:t xml:space="preserve">№ 601-П </w:t>
      </w:r>
      <w:r w:rsidRPr="00690FEC">
        <w:rPr>
          <w:rFonts w:ascii="Times New Roman" w:hAnsi="Times New Roman" w:cs="Times New Roman"/>
          <w:sz w:val="24"/>
          <w:szCs w:val="24"/>
        </w:rPr>
        <w:t>«О порядке приостановления, возобновления действия лицензии на осуществление профессиональной деятельности на рынке ценных бумаг, порядке принятия Банком России решения об аннулировании лицензии на осуществление профессиональной деятельности на рынке ценных бумаг, сроках принятия такого решения в случаях, установленных подпунктами 2–12 пункта 1 и подпунктом 3 пункта 2 статьи 39.1 Федерального закона от 22 апреля 1996 года № 39-ФЗ «О рынке ценных бумаг», об исчерпывающем перечне прилагаемых к заявлению об аннулировании лицензии документов и о порядке их представления, а также о порядке направления Банком России уведомления профессиональному участнику рынка ценных бумаг, в отношении которого принято решение об аннулировании лицензии на осуществление профессиональной деят</w:t>
      </w:r>
      <w:r w:rsidR="00F46E34" w:rsidRPr="00690FEC">
        <w:rPr>
          <w:rFonts w:ascii="Times New Roman" w:hAnsi="Times New Roman" w:cs="Times New Roman"/>
          <w:sz w:val="24"/>
          <w:szCs w:val="24"/>
        </w:rPr>
        <w:t>ельности на рынке ценных бумаг».</w:t>
      </w:r>
    </w:p>
    <w:p w14:paraId="065B958B" w14:textId="353944DE" w:rsidR="00891992" w:rsidRPr="00690FEC" w:rsidRDefault="00891992" w:rsidP="00ED3535">
      <w:pPr>
        <w:pStyle w:val="af5"/>
        <w:numPr>
          <w:ilvl w:val="0"/>
          <w:numId w:val="16"/>
        </w:numPr>
        <w:spacing w:before="0" w:beforeAutospacing="0" w:after="0" w:afterAutospacing="0"/>
        <w:ind w:left="567" w:hanging="567"/>
        <w:jc w:val="both"/>
      </w:pPr>
      <w:r w:rsidRPr="00690FEC">
        <w:t>Инструкция Банка России от 10</w:t>
      </w:r>
      <w:r w:rsidR="003E3C20" w:rsidRPr="00690FEC">
        <w:t xml:space="preserve"> августа </w:t>
      </w:r>
      <w:r w:rsidRPr="00690FEC">
        <w:t>2015</w:t>
      </w:r>
      <w:r w:rsidR="003E3C20" w:rsidRPr="00690FEC">
        <w:t xml:space="preserve"> года</w:t>
      </w:r>
      <w:r w:rsidRPr="00690FEC">
        <w:t xml:space="preserve"> № 167-И «О порядке проведения Банком России проверок соблюдения требований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РФ» и принятых в соответствии с ним нормативных актов».</w:t>
      </w:r>
    </w:p>
    <w:p w14:paraId="3EECA250" w14:textId="15206F60" w:rsidR="00736566" w:rsidRPr="00690FEC" w:rsidRDefault="00736566"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Инструкция Банка России от 13 сентября 2015 года № 168-И «О порядке лицензирования Банком России профессиональной деятельности на рынке ценных бумаг и порядке ведения реестра профессиональных участников рынка ценных бумаг».</w:t>
      </w:r>
    </w:p>
    <w:p w14:paraId="6573AD99" w14:textId="77777777" w:rsidR="00F87358" w:rsidRPr="00690FEC" w:rsidRDefault="00556735" w:rsidP="003F64DB">
      <w:pPr>
        <w:pStyle w:val="a9"/>
        <w:numPr>
          <w:ilvl w:val="0"/>
          <w:numId w:val="16"/>
        </w:numPr>
        <w:autoSpaceDE w:val="0"/>
        <w:autoSpaceDN w:val="0"/>
        <w:adjustRightInd w:val="0"/>
        <w:spacing w:after="0" w:line="240" w:lineRule="auto"/>
        <w:ind w:left="540" w:hanging="567"/>
        <w:jc w:val="both"/>
        <w:rPr>
          <w:rFonts w:ascii="Times New Roman" w:hAnsi="Times New Roman" w:cs="Times New Roman"/>
          <w:sz w:val="24"/>
          <w:szCs w:val="24"/>
        </w:rPr>
      </w:pPr>
      <w:r w:rsidRPr="00690FEC">
        <w:rPr>
          <w:rFonts w:ascii="Times New Roman" w:hAnsi="Times New Roman" w:cs="Times New Roman"/>
          <w:sz w:val="24"/>
          <w:szCs w:val="24"/>
        </w:rPr>
        <w:t xml:space="preserve">Приказ ФСФР от 28 января </w:t>
      </w:r>
      <w:r w:rsidR="00AA3DDC" w:rsidRPr="00690FEC">
        <w:rPr>
          <w:rFonts w:ascii="Times New Roman" w:hAnsi="Times New Roman" w:cs="Times New Roman"/>
          <w:sz w:val="24"/>
          <w:szCs w:val="24"/>
        </w:rPr>
        <w:t xml:space="preserve">2010 </w:t>
      </w:r>
      <w:r w:rsidRPr="00690FEC">
        <w:rPr>
          <w:rFonts w:ascii="Times New Roman" w:hAnsi="Times New Roman" w:cs="Times New Roman"/>
          <w:sz w:val="24"/>
          <w:szCs w:val="24"/>
        </w:rPr>
        <w:t xml:space="preserve">года </w:t>
      </w:r>
      <w:r w:rsidR="00AA3DDC" w:rsidRPr="00690FEC">
        <w:rPr>
          <w:rFonts w:ascii="Times New Roman" w:hAnsi="Times New Roman" w:cs="Times New Roman"/>
          <w:sz w:val="24"/>
          <w:szCs w:val="24"/>
        </w:rPr>
        <w:t>№ 10-4/</w:t>
      </w:r>
      <w:proofErr w:type="spellStart"/>
      <w:r w:rsidR="00AA3DDC" w:rsidRPr="00690FEC">
        <w:rPr>
          <w:rFonts w:ascii="Times New Roman" w:hAnsi="Times New Roman" w:cs="Times New Roman"/>
          <w:sz w:val="24"/>
          <w:szCs w:val="24"/>
        </w:rPr>
        <w:t>пз</w:t>
      </w:r>
      <w:proofErr w:type="spellEnd"/>
      <w:r w:rsidR="00AA3DDC" w:rsidRPr="00690FEC">
        <w:rPr>
          <w:rFonts w:ascii="Times New Roman" w:hAnsi="Times New Roman" w:cs="Times New Roman"/>
          <w:sz w:val="24"/>
          <w:szCs w:val="24"/>
        </w:rPr>
        <w:t>-н «Об</w:t>
      </w:r>
      <w:r w:rsidR="00AA3DDC" w:rsidRPr="00690FEC">
        <w:rPr>
          <w:rFonts w:ascii="Times New Roman" w:hAnsi="Times New Roman" w:cs="Times New Roman"/>
          <w:iCs/>
          <w:sz w:val="24"/>
          <w:szCs w:val="24"/>
        </w:rPr>
        <w:t xml:space="preserve"> утверждении Положения о с</w:t>
      </w:r>
      <w:r w:rsidR="00EF20C3" w:rsidRPr="00690FEC">
        <w:rPr>
          <w:rFonts w:ascii="Times New Roman" w:hAnsi="Times New Roman" w:cs="Times New Roman"/>
          <w:iCs/>
          <w:sz w:val="24"/>
          <w:szCs w:val="24"/>
        </w:rPr>
        <w:t>пециалистах финансового рынка».</w:t>
      </w:r>
    </w:p>
    <w:p w14:paraId="59F5C4D6" w14:textId="2A4422CF" w:rsidR="00F87358" w:rsidRPr="00690FEC" w:rsidRDefault="00F87358" w:rsidP="00481EC9">
      <w:pPr>
        <w:pStyle w:val="a9"/>
        <w:numPr>
          <w:ilvl w:val="0"/>
          <w:numId w:val="16"/>
        </w:numPr>
        <w:autoSpaceDE w:val="0"/>
        <w:autoSpaceDN w:val="0"/>
        <w:adjustRightInd w:val="0"/>
        <w:spacing w:after="0" w:line="240" w:lineRule="auto"/>
        <w:ind w:left="540" w:hanging="567"/>
        <w:jc w:val="both"/>
        <w:rPr>
          <w:rFonts w:ascii="Times New Roman" w:hAnsi="Times New Roman" w:cs="Times New Roman"/>
          <w:sz w:val="24"/>
          <w:szCs w:val="24"/>
        </w:rPr>
      </w:pPr>
      <w:r w:rsidRPr="00690FEC">
        <w:rPr>
          <w:rFonts w:ascii="Times New Roman" w:hAnsi="Times New Roman" w:cs="Times New Roman"/>
          <w:sz w:val="24"/>
          <w:szCs w:val="24"/>
        </w:rPr>
        <w:t>Приказ ФСФР от 18 февраля 2010 года № 10-10/</w:t>
      </w:r>
      <w:proofErr w:type="spellStart"/>
      <w:r w:rsidRPr="00690FEC">
        <w:rPr>
          <w:rFonts w:ascii="Times New Roman" w:hAnsi="Times New Roman" w:cs="Times New Roman"/>
          <w:sz w:val="24"/>
          <w:szCs w:val="24"/>
        </w:rPr>
        <w:t>пз</w:t>
      </w:r>
      <w:proofErr w:type="spellEnd"/>
      <w:r w:rsidRPr="00690FEC">
        <w:rPr>
          <w:rFonts w:ascii="Times New Roman" w:hAnsi="Times New Roman" w:cs="Times New Roman"/>
          <w:sz w:val="24"/>
          <w:szCs w:val="24"/>
        </w:rPr>
        <w:t>-н «Об утверждении Положения о порядке заверения подлинности подписи профессиональными участниками рынка ценных бумаг».</w:t>
      </w:r>
    </w:p>
    <w:p w14:paraId="08385D2B" w14:textId="461EF93A" w:rsidR="00F4074D" w:rsidRPr="00690FEC" w:rsidRDefault="00F4074D"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 xml:space="preserve">Приказ ФСФР от 12 августа 2010 года № 10-56 </w:t>
      </w:r>
      <w:proofErr w:type="spellStart"/>
      <w:r w:rsidRPr="00690FEC">
        <w:rPr>
          <w:rFonts w:ascii="Times New Roman" w:hAnsi="Times New Roman" w:cs="Times New Roman"/>
          <w:sz w:val="24"/>
          <w:szCs w:val="24"/>
        </w:rPr>
        <w:t>пз</w:t>
      </w:r>
      <w:proofErr w:type="spellEnd"/>
      <w:r w:rsidRPr="00690FEC">
        <w:rPr>
          <w:rFonts w:ascii="Times New Roman" w:hAnsi="Times New Roman" w:cs="Times New Roman"/>
          <w:sz w:val="24"/>
          <w:szCs w:val="24"/>
        </w:rPr>
        <w:t>-н «Об особенностях проведения в реестре владельцев именных ценных бумаг операции по изменению информации, содержащейся на лицевом счете номинального держателя и (или) доверительного управляющего, в связи с реорганизацией указанных лиц в форме преобразования или в форме присоединения».</w:t>
      </w:r>
    </w:p>
    <w:p w14:paraId="388E9A47" w14:textId="712B52B9" w:rsidR="00AA3DDC" w:rsidRPr="00690FEC" w:rsidRDefault="00AA3DDC"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 xml:space="preserve">Приказ </w:t>
      </w:r>
      <w:r w:rsidR="00556735" w:rsidRPr="00690FEC">
        <w:rPr>
          <w:rFonts w:ascii="Times New Roman" w:hAnsi="Times New Roman" w:cs="Times New Roman"/>
          <w:sz w:val="24"/>
          <w:szCs w:val="24"/>
        </w:rPr>
        <w:t>ФСФР от 5 апреля 2011 года</w:t>
      </w:r>
      <w:r w:rsidRPr="00690FEC">
        <w:rPr>
          <w:rFonts w:ascii="Times New Roman" w:hAnsi="Times New Roman" w:cs="Times New Roman"/>
          <w:sz w:val="24"/>
          <w:szCs w:val="24"/>
        </w:rPr>
        <w:t xml:space="preserve"> № 11-8/</w:t>
      </w:r>
      <w:proofErr w:type="spellStart"/>
      <w:r w:rsidRPr="00690FEC">
        <w:rPr>
          <w:rFonts w:ascii="Times New Roman" w:hAnsi="Times New Roman" w:cs="Times New Roman"/>
          <w:sz w:val="24"/>
          <w:szCs w:val="24"/>
        </w:rPr>
        <w:t>пз</w:t>
      </w:r>
      <w:proofErr w:type="spellEnd"/>
      <w:r w:rsidRPr="00690FEC">
        <w:rPr>
          <w:rFonts w:ascii="Times New Roman" w:hAnsi="Times New Roman" w:cs="Times New Roman"/>
          <w:sz w:val="24"/>
          <w:szCs w:val="24"/>
        </w:rPr>
        <w:t>-н «Об утверждении Положения об особенностях обращения и учета прав на ценные бумаги, предназначенные для квалифицированных инвесторов, и иностранные ценные бумаги».</w:t>
      </w:r>
    </w:p>
    <w:p w14:paraId="0C475E88" w14:textId="5980287E" w:rsidR="00EF20C3" w:rsidRPr="00690FEC" w:rsidRDefault="00EF20C3"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Приказ ФСФР от 02 февраля 2012 года № 12-6/</w:t>
      </w:r>
      <w:proofErr w:type="spellStart"/>
      <w:r w:rsidRPr="00690FEC">
        <w:rPr>
          <w:rFonts w:ascii="Times New Roman" w:hAnsi="Times New Roman" w:cs="Times New Roman"/>
          <w:sz w:val="24"/>
          <w:szCs w:val="24"/>
        </w:rPr>
        <w:t>пз</w:t>
      </w:r>
      <w:proofErr w:type="spellEnd"/>
      <w:r w:rsidRPr="00690FEC">
        <w:rPr>
          <w:rFonts w:ascii="Times New Roman" w:hAnsi="Times New Roman" w:cs="Times New Roman"/>
          <w:sz w:val="24"/>
          <w:szCs w:val="24"/>
        </w:rPr>
        <w:t>-н «Об утверждении Положения о дополнительных требованиях к порядку подготовки, созыва и проведения общего собрания акционеров».</w:t>
      </w:r>
    </w:p>
    <w:p w14:paraId="4E665EAB" w14:textId="39A6E3C7" w:rsidR="00AA3DDC" w:rsidRPr="00690FEC" w:rsidRDefault="00AA3DDC"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lastRenderedPageBreak/>
        <w:t xml:space="preserve">Приказ ФСФР </w:t>
      </w:r>
      <w:r w:rsidR="00556735" w:rsidRPr="00690FEC">
        <w:rPr>
          <w:rFonts w:ascii="Times New Roman" w:hAnsi="Times New Roman" w:cs="Times New Roman"/>
          <w:sz w:val="24"/>
          <w:szCs w:val="24"/>
        </w:rPr>
        <w:t xml:space="preserve">от 24 мая </w:t>
      </w:r>
      <w:r w:rsidRPr="00690FEC">
        <w:rPr>
          <w:rFonts w:ascii="Times New Roman" w:hAnsi="Times New Roman" w:cs="Times New Roman"/>
          <w:sz w:val="24"/>
          <w:szCs w:val="24"/>
        </w:rPr>
        <w:t xml:space="preserve">2012 </w:t>
      </w:r>
      <w:r w:rsidR="00556735" w:rsidRPr="00690FEC">
        <w:rPr>
          <w:rFonts w:ascii="Times New Roman" w:hAnsi="Times New Roman" w:cs="Times New Roman"/>
          <w:sz w:val="24"/>
          <w:szCs w:val="24"/>
        </w:rPr>
        <w:t xml:space="preserve">года </w:t>
      </w:r>
      <w:r w:rsidRPr="00690FEC">
        <w:rPr>
          <w:rFonts w:ascii="Times New Roman" w:hAnsi="Times New Roman" w:cs="Times New Roman"/>
          <w:sz w:val="24"/>
          <w:szCs w:val="24"/>
        </w:rPr>
        <w:t>№ 12-32/</w:t>
      </w:r>
      <w:proofErr w:type="spellStart"/>
      <w:r w:rsidRPr="00690FEC">
        <w:rPr>
          <w:rFonts w:ascii="Times New Roman" w:hAnsi="Times New Roman" w:cs="Times New Roman"/>
          <w:sz w:val="24"/>
          <w:szCs w:val="24"/>
        </w:rPr>
        <w:t>пз</w:t>
      </w:r>
      <w:proofErr w:type="spellEnd"/>
      <w:r w:rsidRPr="00690FEC">
        <w:rPr>
          <w:rFonts w:ascii="Times New Roman" w:hAnsi="Times New Roman" w:cs="Times New Roman"/>
          <w:sz w:val="24"/>
          <w:szCs w:val="24"/>
        </w:rPr>
        <w:t>-н «Об утверждении Положения о внутреннем контроле профессионального участника рынка ценных бумаг».</w:t>
      </w:r>
    </w:p>
    <w:p w14:paraId="2F1C99E1" w14:textId="1B89503C" w:rsidR="00842446" w:rsidRPr="00690FEC" w:rsidRDefault="00842446"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iCs/>
          <w:sz w:val="24"/>
          <w:szCs w:val="24"/>
        </w:rPr>
      </w:pPr>
      <w:r w:rsidRPr="00690FEC">
        <w:rPr>
          <w:rFonts w:ascii="Times New Roman" w:hAnsi="Times New Roman" w:cs="Times New Roman"/>
          <w:sz w:val="24"/>
          <w:szCs w:val="24"/>
        </w:rPr>
        <w:t>Приказ ФСФР от 28 июня 2012 года № 12-52/</w:t>
      </w:r>
      <w:proofErr w:type="spellStart"/>
      <w:r w:rsidRPr="00690FEC">
        <w:rPr>
          <w:rFonts w:ascii="Times New Roman" w:hAnsi="Times New Roman" w:cs="Times New Roman"/>
          <w:sz w:val="24"/>
          <w:szCs w:val="24"/>
        </w:rPr>
        <w:t>пз</w:t>
      </w:r>
      <w:proofErr w:type="spellEnd"/>
      <w:r w:rsidRPr="00690FEC">
        <w:rPr>
          <w:rFonts w:ascii="Times New Roman" w:hAnsi="Times New Roman" w:cs="Times New Roman"/>
          <w:sz w:val="24"/>
          <w:szCs w:val="24"/>
        </w:rPr>
        <w:t>-н «Об утверждении Порядка учета в реестре владельцев ценных бумаг залога именных эмиссионных ценных бумаг и внесения в реестр изменений, касающихся перехода прав на заложенные именные эмиссионные ценные бумаги».</w:t>
      </w:r>
    </w:p>
    <w:p w14:paraId="1A3A04DB" w14:textId="059B519B" w:rsidR="00BE038B" w:rsidRPr="00690FEC" w:rsidRDefault="00BE038B"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iCs/>
          <w:sz w:val="24"/>
          <w:szCs w:val="24"/>
        </w:rPr>
      </w:pPr>
      <w:r w:rsidRPr="00690FEC">
        <w:rPr>
          <w:rFonts w:ascii="Times New Roman" w:hAnsi="Times New Roman" w:cs="Times New Roman"/>
          <w:sz w:val="24"/>
          <w:szCs w:val="24"/>
        </w:rPr>
        <w:t xml:space="preserve">Приказ ФСФР от 10 июля 2012 года № 12-58 </w:t>
      </w:r>
      <w:proofErr w:type="spellStart"/>
      <w:r w:rsidRPr="00690FEC">
        <w:rPr>
          <w:rFonts w:ascii="Times New Roman" w:hAnsi="Times New Roman" w:cs="Times New Roman"/>
          <w:sz w:val="24"/>
          <w:szCs w:val="24"/>
        </w:rPr>
        <w:t>пз</w:t>
      </w:r>
      <w:proofErr w:type="spellEnd"/>
      <w:r w:rsidRPr="00690FEC">
        <w:rPr>
          <w:rFonts w:ascii="Times New Roman" w:hAnsi="Times New Roman" w:cs="Times New Roman"/>
          <w:sz w:val="24"/>
          <w:szCs w:val="24"/>
        </w:rPr>
        <w:t>-н «О порядке передачи реестра владельцев ценных бумаг конкурсным управляющим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w:t>
      </w:r>
    </w:p>
    <w:p w14:paraId="4F70084F" w14:textId="7B0BDBFA" w:rsidR="00BE038B" w:rsidRPr="00690FEC" w:rsidRDefault="00BE038B"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iCs/>
          <w:sz w:val="24"/>
          <w:szCs w:val="24"/>
        </w:rPr>
      </w:pPr>
      <w:r w:rsidRPr="00690FEC">
        <w:rPr>
          <w:rFonts w:ascii="Times New Roman" w:hAnsi="Times New Roman" w:cs="Times New Roman"/>
          <w:sz w:val="24"/>
          <w:szCs w:val="24"/>
        </w:rPr>
        <w:t>Приказ ФСФР от 25 декабря 2012 года № 12-111/</w:t>
      </w:r>
      <w:proofErr w:type="spellStart"/>
      <w:r w:rsidRPr="00690FEC">
        <w:rPr>
          <w:rFonts w:ascii="Times New Roman" w:hAnsi="Times New Roman" w:cs="Times New Roman"/>
          <w:sz w:val="24"/>
          <w:szCs w:val="24"/>
        </w:rPr>
        <w:t>пз</w:t>
      </w:r>
      <w:proofErr w:type="spellEnd"/>
      <w:r w:rsidRPr="00690FEC">
        <w:rPr>
          <w:rFonts w:ascii="Times New Roman" w:hAnsi="Times New Roman" w:cs="Times New Roman"/>
          <w:sz w:val="24"/>
          <w:szCs w:val="24"/>
        </w:rPr>
        <w:t>-н «О максимальной плате, взимаемой держателем реестра с зарегистрированных лиц за проведение в реестре операций, и порядке ее определения».</w:t>
      </w:r>
    </w:p>
    <w:p w14:paraId="690D8775" w14:textId="5B2B502D" w:rsidR="00EF20C3" w:rsidRPr="00690FEC" w:rsidRDefault="00EF20C3" w:rsidP="000205E9">
      <w:pPr>
        <w:pStyle w:val="a9"/>
        <w:numPr>
          <w:ilvl w:val="0"/>
          <w:numId w:val="16"/>
        </w:numPr>
        <w:autoSpaceDE w:val="0"/>
        <w:autoSpaceDN w:val="0"/>
        <w:adjustRightInd w:val="0"/>
        <w:spacing w:after="0" w:line="240" w:lineRule="auto"/>
        <w:ind w:left="567" w:hanging="567"/>
        <w:jc w:val="both"/>
        <w:rPr>
          <w:rFonts w:ascii="Times New Roman" w:hAnsi="Times New Roman" w:cs="Times New Roman"/>
          <w:iCs/>
          <w:sz w:val="24"/>
          <w:szCs w:val="24"/>
        </w:rPr>
      </w:pPr>
      <w:r w:rsidRPr="00690FEC">
        <w:rPr>
          <w:rFonts w:ascii="Times New Roman" w:hAnsi="Times New Roman" w:cs="Times New Roman"/>
          <w:sz w:val="24"/>
          <w:szCs w:val="24"/>
        </w:rPr>
        <w:t>Приказ ФСФР от 30 июля 2013 года № 13-65/</w:t>
      </w:r>
      <w:proofErr w:type="spellStart"/>
      <w:r w:rsidRPr="00690FEC">
        <w:rPr>
          <w:rFonts w:ascii="Times New Roman" w:hAnsi="Times New Roman" w:cs="Times New Roman"/>
          <w:sz w:val="24"/>
          <w:szCs w:val="24"/>
        </w:rPr>
        <w:t>пз</w:t>
      </w:r>
      <w:proofErr w:type="spellEnd"/>
      <w:r w:rsidRPr="00690FEC">
        <w:rPr>
          <w:rFonts w:ascii="Times New Roman" w:hAnsi="Times New Roman" w:cs="Times New Roman"/>
          <w:sz w:val="24"/>
          <w:szCs w:val="24"/>
        </w:rPr>
        <w:t>-н «О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w:t>
      </w:r>
    </w:p>
    <w:p w14:paraId="0CE27217" w14:textId="6F8C01CB" w:rsidR="004D7273" w:rsidRPr="00690FEC" w:rsidRDefault="004D7273" w:rsidP="000205E9">
      <w:pPr>
        <w:pStyle w:val="a9"/>
        <w:numPr>
          <w:ilvl w:val="0"/>
          <w:numId w:val="16"/>
        </w:numPr>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 xml:space="preserve">Постановление ФКЦБ от 08 сентября 1998 года № 36 «Об утверждении Положения о порядке возврата владельцам ценных бумаг денежных средств (иного имущества), полученных эмитентом в счет оплаты ценных бумаг, выпуск которых признан несостоявшимся или недействительным». </w:t>
      </w:r>
    </w:p>
    <w:p w14:paraId="7CD1DCC9" w14:textId="37A0648C" w:rsidR="00AA3DDC" w:rsidRPr="00690FEC" w:rsidRDefault="00AA3DDC" w:rsidP="000205E9">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iCs/>
          <w:sz w:val="24"/>
          <w:szCs w:val="24"/>
        </w:rPr>
        <w:t xml:space="preserve">Постановление ФКЦБ </w:t>
      </w:r>
      <w:r w:rsidR="00556735" w:rsidRPr="00690FEC">
        <w:rPr>
          <w:rFonts w:ascii="Times New Roman" w:hAnsi="Times New Roman" w:cs="Times New Roman"/>
          <w:iCs/>
          <w:sz w:val="24"/>
          <w:szCs w:val="24"/>
        </w:rPr>
        <w:t xml:space="preserve">от 10 ноября </w:t>
      </w:r>
      <w:r w:rsidRPr="00690FEC">
        <w:rPr>
          <w:rFonts w:ascii="Times New Roman" w:hAnsi="Times New Roman" w:cs="Times New Roman"/>
          <w:iCs/>
          <w:sz w:val="24"/>
          <w:szCs w:val="24"/>
        </w:rPr>
        <w:t xml:space="preserve">1998 </w:t>
      </w:r>
      <w:r w:rsidR="00556735" w:rsidRPr="00690FEC">
        <w:rPr>
          <w:rFonts w:ascii="Times New Roman" w:hAnsi="Times New Roman" w:cs="Times New Roman"/>
          <w:iCs/>
          <w:sz w:val="24"/>
          <w:szCs w:val="24"/>
        </w:rPr>
        <w:t>года №</w:t>
      </w:r>
      <w:r w:rsidR="00224A25" w:rsidRPr="00690FEC">
        <w:rPr>
          <w:rFonts w:ascii="Times New Roman" w:hAnsi="Times New Roman" w:cs="Times New Roman"/>
          <w:iCs/>
          <w:sz w:val="24"/>
          <w:szCs w:val="24"/>
        </w:rPr>
        <w:t xml:space="preserve"> </w:t>
      </w:r>
      <w:r w:rsidR="00556735" w:rsidRPr="00690FEC">
        <w:rPr>
          <w:rFonts w:ascii="Times New Roman" w:hAnsi="Times New Roman" w:cs="Times New Roman"/>
          <w:iCs/>
          <w:sz w:val="24"/>
          <w:szCs w:val="24"/>
        </w:rPr>
        <w:t>46 «</w:t>
      </w:r>
      <w:r w:rsidRPr="00690FEC">
        <w:rPr>
          <w:rFonts w:ascii="Times New Roman" w:hAnsi="Times New Roman" w:cs="Times New Roman"/>
          <w:iCs/>
          <w:sz w:val="24"/>
          <w:szCs w:val="24"/>
        </w:rPr>
        <w:t>Об утверждении Положения о порядке прекращения исполнения функций номи</w:t>
      </w:r>
      <w:r w:rsidR="00556735" w:rsidRPr="00690FEC">
        <w:rPr>
          <w:rFonts w:ascii="Times New Roman" w:hAnsi="Times New Roman" w:cs="Times New Roman"/>
          <w:iCs/>
          <w:sz w:val="24"/>
          <w:szCs w:val="24"/>
        </w:rPr>
        <w:t>нального держателя ценных бумаг»</w:t>
      </w:r>
      <w:r w:rsidRPr="00690FEC">
        <w:rPr>
          <w:rFonts w:ascii="Times New Roman" w:hAnsi="Times New Roman" w:cs="Times New Roman"/>
          <w:iCs/>
          <w:sz w:val="24"/>
          <w:szCs w:val="24"/>
        </w:rPr>
        <w:t>.</w:t>
      </w:r>
    </w:p>
    <w:p w14:paraId="1BE886DB" w14:textId="6C81805A" w:rsidR="00BC63F5" w:rsidRPr="00690FEC" w:rsidRDefault="00BC63F5"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Постановление ФКЦБ от 30 августа 2001 года № 21 «О порядке учета в системе ведения реестра не полностью оплаченных акций и внесения в систему ведения реестра изменений, касающихся перерегистрации акций, переходящих в распоряжение эмитента в случае их неполной оплаты в предусмотренный законом срок».</w:t>
      </w:r>
    </w:p>
    <w:p w14:paraId="48CFE97F" w14:textId="4C7BC562" w:rsidR="009D2B4C" w:rsidRPr="00690FEC" w:rsidRDefault="009D2B4C" w:rsidP="00ED3535">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Постановление ФКЦБ от 01 апреля 2003 года № 03-18/</w:t>
      </w:r>
      <w:proofErr w:type="spellStart"/>
      <w:r w:rsidRPr="00690FEC">
        <w:rPr>
          <w:rFonts w:ascii="Times New Roman" w:hAnsi="Times New Roman" w:cs="Times New Roman"/>
          <w:sz w:val="24"/>
          <w:szCs w:val="24"/>
        </w:rPr>
        <w:t>пз</w:t>
      </w:r>
      <w:proofErr w:type="spellEnd"/>
      <w:r w:rsidRPr="00690FEC">
        <w:rPr>
          <w:rFonts w:ascii="Times New Roman" w:hAnsi="Times New Roman" w:cs="Times New Roman"/>
          <w:sz w:val="24"/>
          <w:szCs w:val="24"/>
        </w:rPr>
        <w:t>-н «О Порядке объединения дополнительных выпусков эмиссионных ценных бумаг».</w:t>
      </w:r>
    </w:p>
    <w:p w14:paraId="3297EF91" w14:textId="487807A9" w:rsidR="00AA3DDC" w:rsidRPr="00690FEC" w:rsidRDefault="002744D2" w:rsidP="00ED3535">
      <w:pPr>
        <w:pStyle w:val="a9"/>
        <w:numPr>
          <w:ilvl w:val="0"/>
          <w:numId w:val="16"/>
        </w:numPr>
        <w:autoSpaceDE w:val="0"/>
        <w:autoSpaceDN w:val="0"/>
        <w:adjustRightInd w:val="0"/>
        <w:spacing w:after="0" w:line="240" w:lineRule="auto"/>
        <w:ind w:left="567" w:hanging="567"/>
        <w:jc w:val="both"/>
        <w:outlineLvl w:val="1"/>
        <w:rPr>
          <w:rFonts w:ascii="Times New Roman" w:hAnsi="Times New Roman" w:cs="Times New Roman"/>
          <w:sz w:val="24"/>
          <w:szCs w:val="24"/>
        </w:rPr>
      </w:pPr>
      <w:hyperlink r:id="rId15" w:history="1">
        <w:r w:rsidR="00AA3DDC" w:rsidRPr="00690FEC">
          <w:rPr>
            <w:rFonts w:ascii="Times New Roman" w:hAnsi="Times New Roman" w:cs="Times New Roman"/>
            <w:sz w:val="24"/>
            <w:szCs w:val="24"/>
          </w:rPr>
          <w:t>Постановление</w:t>
        </w:r>
      </w:hyperlink>
      <w:r w:rsidR="00AA3DDC" w:rsidRPr="00690FEC">
        <w:rPr>
          <w:rFonts w:ascii="Times New Roman" w:hAnsi="Times New Roman" w:cs="Times New Roman"/>
          <w:sz w:val="24"/>
          <w:szCs w:val="24"/>
        </w:rPr>
        <w:t xml:space="preserve"> ФКЦБ </w:t>
      </w:r>
      <w:r w:rsidR="00224A25" w:rsidRPr="00690FEC">
        <w:rPr>
          <w:rFonts w:ascii="Times New Roman" w:hAnsi="Times New Roman" w:cs="Times New Roman"/>
          <w:sz w:val="24"/>
          <w:szCs w:val="24"/>
        </w:rPr>
        <w:t xml:space="preserve">от 22 мая </w:t>
      </w:r>
      <w:r w:rsidR="00AA3DDC" w:rsidRPr="00690FEC">
        <w:rPr>
          <w:rFonts w:ascii="Times New Roman" w:hAnsi="Times New Roman" w:cs="Times New Roman"/>
          <w:sz w:val="24"/>
          <w:szCs w:val="24"/>
        </w:rPr>
        <w:t xml:space="preserve">2003 </w:t>
      </w:r>
      <w:r w:rsidR="00224A25" w:rsidRPr="00690FEC">
        <w:rPr>
          <w:rFonts w:ascii="Times New Roman" w:hAnsi="Times New Roman" w:cs="Times New Roman"/>
          <w:sz w:val="24"/>
          <w:szCs w:val="24"/>
        </w:rPr>
        <w:t xml:space="preserve">года </w:t>
      </w:r>
      <w:r w:rsidR="00AA3DDC" w:rsidRPr="00690FEC">
        <w:rPr>
          <w:rFonts w:ascii="Times New Roman" w:hAnsi="Times New Roman" w:cs="Times New Roman"/>
          <w:sz w:val="24"/>
          <w:szCs w:val="24"/>
        </w:rPr>
        <w:t>№ 03-28/</w:t>
      </w:r>
      <w:proofErr w:type="spellStart"/>
      <w:r w:rsidR="00AA3DDC" w:rsidRPr="00690FEC">
        <w:rPr>
          <w:rFonts w:ascii="Times New Roman" w:hAnsi="Times New Roman" w:cs="Times New Roman"/>
          <w:sz w:val="24"/>
          <w:szCs w:val="24"/>
        </w:rPr>
        <w:t>пс</w:t>
      </w:r>
      <w:proofErr w:type="spellEnd"/>
      <w:r w:rsidR="00AA3DDC" w:rsidRPr="00690FEC">
        <w:rPr>
          <w:rFonts w:ascii="Times New Roman" w:hAnsi="Times New Roman" w:cs="Times New Roman"/>
          <w:sz w:val="24"/>
          <w:szCs w:val="24"/>
        </w:rPr>
        <w:t xml:space="preserve"> «О Порядке отражения в учетной системе объединения дополнительных выпусков эмиссионных ценных бумаг и аннулирования индивидуальных номеров (кодов) дополнительных выпусков эмиссионных ценных бумаг».</w:t>
      </w:r>
    </w:p>
    <w:p w14:paraId="3D129FF6" w14:textId="2546191D" w:rsidR="00466E05" w:rsidRPr="00690FEC" w:rsidRDefault="00094731" w:rsidP="000205E9">
      <w:pPr>
        <w:pStyle w:val="af5"/>
        <w:numPr>
          <w:ilvl w:val="0"/>
          <w:numId w:val="16"/>
        </w:numPr>
        <w:spacing w:before="0" w:beforeAutospacing="0" w:after="0" w:afterAutospacing="0"/>
        <w:ind w:left="567" w:hanging="567"/>
        <w:jc w:val="both"/>
      </w:pPr>
      <w:r w:rsidRPr="00690FEC">
        <w:t xml:space="preserve">Национальный стандарт Российской Федерации ГОСТ Р ИСО 31000-2010 «Менеджмент риска. Принципы и руководство», идентичный международному стандарту ИСО 31000:2009 «Менеджмент риска. Принципы и руководство», утвержденный и введенный в действие </w:t>
      </w:r>
      <w:r w:rsidR="00466E05" w:rsidRPr="00690FEC">
        <w:t>Приказ</w:t>
      </w:r>
      <w:r w:rsidRPr="00690FEC">
        <w:t>ом</w:t>
      </w:r>
      <w:r w:rsidR="00466E05" w:rsidRPr="00690FEC">
        <w:t xml:space="preserve"> </w:t>
      </w:r>
      <w:proofErr w:type="spellStart"/>
      <w:r w:rsidR="00466E05" w:rsidRPr="00690FEC">
        <w:t>Росстандарта</w:t>
      </w:r>
      <w:proofErr w:type="spellEnd"/>
      <w:r w:rsidR="00466E05" w:rsidRPr="00690FEC">
        <w:t xml:space="preserve"> от 21 декабря 2010 </w:t>
      </w:r>
      <w:r w:rsidRPr="00690FEC">
        <w:t>года.</w:t>
      </w:r>
      <w:r w:rsidR="00466E05" w:rsidRPr="00690FEC">
        <w:t xml:space="preserve"> </w:t>
      </w:r>
    </w:p>
    <w:p w14:paraId="4F25D11B" w14:textId="77777777" w:rsidR="00EC3BEE" w:rsidRPr="00690FEC" w:rsidRDefault="00B579AF" w:rsidP="000205E9">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Письмо Банка России от 29</w:t>
      </w:r>
      <w:r w:rsidR="008849EC" w:rsidRPr="00690FEC">
        <w:rPr>
          <w:rFonts w:ascii="Times New Roman" w:hAnsi="Times New Roman" w:cs="Times New Roman"/>
          <w:sz w:val="24"/>
          <w:szCs w:val="24"/>
        </w:rPr>
        <w:t xml:space="preserve"> мая </w:t>
      </w:r>
      <w:r w:rsidRPr="00690FEC">
        <w:rPr>
          <w:rFonts w:ascii="Times New Roman" w:hAnsi="Times New Roman" w:cs="Times New Roman"/>
          <w:sz w:val="24"/>
          <w:szCs w:val="24"/>
        </w:rPr>
        <w:t xml:space="preserve">2014 </w:t>
      </w:r>
      <w:r w:rsidR="008849EC" w:rsidRPr="00690FEC">
        <w:rPr>
          <w:rFonts w:ascii="Times New Roman" w:hAnsi="Times New Roman" w:cs="Times New Roman"/>
          <w:sz w:val="24"/>
          <w:szCs w:val="24"/>
        </w:rPr>
        <w:t xml:space="preserve">года </w:t>
      </w:r>
      <w:r w:rsidRPr="00690FEC">
        <w:rPr>
          <w:rFonts w:ascii="Times New Roman" w:hAnsi="Times New Roman" w:cs="Times New Roman"/>
          <w:sz w:val="24"/>
          <w:szCs w:val="24"/>
        </w:rPr>
        <w:t>№ 015-55-4/4158 «О разъяснении вопросов, касающихся предоставления информации держателями реестра владельцев ценных бумаг и номинальными держателями (депозитариями) ценных бумаг».</w:t>
      </w:r>
    </w:p>
    <w:p w14:paraId="1ABF4168" w14:textId="63AA898C" w:rsidR="00F67C47" w:rsidRPr="00690FEC" w:rsidRDefault="00F67C47" w:rsidP="000205E9">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Информационное письмо Банка России от 20 сентября 2016 года № ИН-015-52/67 «О некоторых вопросах, связанных с продажей ценных бумаг лицу, направившему добровольное (обязательное) предложение о приобретении ценных бумаг».</w:t>
      </w:r>
    </w:p>
    <w:p w14:paraId="7A180F80" w14:textId="7FA7443D" w:rsidR="00EC3BEE" w:rsidRPr="00690FEC" w:rsidRDefault="00EC3BEE" w:rsidP="000205E9">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Информаци</w:t>
      </w:r>
      <w:r w:rsidR="00F67C47" w:rsidRPr="00690FEC">
        <w:rPr>
          <w:rFonts w:ascii="Times New Roman" w:hAnsi="Times New Roman" w:cs="Times New Roman"/>
          <w:sz w:val="24"/>
          <w:szCs w:val="24"/>
        </w:rPr>
        <w:t xml:space="preserve">онное письмо Банка России от 04 октября </w:t>
      </w:r>
      <w:r w:rsidRPr="00690FEC">
        <w:rPr>
          <w:rFonts w:ascii="Times New Roman" w:hAnsi="Times New Roman" w:cs="Times New Roman"/>
          <w:sz w:val="24"/>
          <w:szCs w:val="24"/>
        </w:rPr>
        <w:t xml:space="preserve">2016 </w:t>
      </w:r>
      <w:r w:rsidR="00F67C47" w:rsidRPr="00690FEC">
        <w:rPr>
          <w:rFonts w:ascii="Times New Roman" w:hAnsi="Times New Roman" w:cs="Times New Roman"/>
          <w:sz w:val="24"/>
          <w:szCs w:val="24"/>
        </w:rPr>
        <w:t>года №</w:t>
      </w:r>
      <w:r w:rsidRPr="00690FEC">
        <w:rPr>
          <w:rFonts w:ascii="Times New Roman" w:hAnsi="Times New Roman" w:cs="Times New Roman"/>
          <w:sz w:val="24"/>
          <w:szCs w:val="24"/>
        </w:rPr>
        <w:t xml:space="preserve"> ИН-06-52/71 «О дате возникновения оснований для осуществления прав по ценным бумагам».</w:t>
      </w:r>
    </w:p>
    <w:p w14:paraId="2A817860" w14:textId="73DEFB2D" w:rsidR="00EC3BEE" w:rsidRPr="00690FEC" w:rsidRDefault="00EC3BEE" w:rsidP="000205E9">
      <w:pPr>
        <w:pStyle w:val="a9"/>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690FEC">
        <w:rPr>
          <w:rFonts w:ascii="Times New Roman" w:hAnsi="Times New Roman" w:cs="Times New Roman"/>
          <w:sz w:val="24"/>
          <w:szCs w:val="24"/>
        </w:rPr>
        <w:t>Информационное письмо Банка России от 08 июня 2017 года № ИН-06-28/27 «О некоторых вопросах порядка подготовки общего собрания акционеров».</w:t>
      </w:r>
    </w:p>
    <w:p w14:paraId="5A59D09B" w14:textId="77777777" w:rsidR="00EC3BEE" w:rsidRDefault="00EC3BEE" w:rsidP="00EC3BEE">
      <w:pPr>
        <w:autoSpaceDE w:val="0"/>
        <w:autoSpaceDN w:val="0"/>
        <w:adjustRightInd w:val="0"/>
        <w:spacing w:after="0" w:line="240" w:lineRule="auto"/>
        <w:jc w:val="both"/>
        <w:rPr>
          <w:rFonts w:ascii="Times New Roman" w:hAnsi="Times New Roman" w:cs="Times New Roman"/>
          <w:iCs/>
          <w:sz w:val="24"/>
          <w:szCs w:val="24"/>
        </w:rPr>
      </w:pPr>
    </w:p>
    <w:p w14:paraId="42A4B8C1" w14:textId="77777777" w:rsidR="00EC3BEE" w:rsidRDefault="00EC3BEE" w:rsidP="008657C0">
      <w:pPr>
        <w:autoSpaceDE w:val="0"/>
        <w:autoSpaceDN w:val="0"/>
        <w:adjustRightInd w:val="0"/>
        <w:spacing w:after="0" w:line="240" w:lineRule="auto"/>
        <w:jc w:val="both"/>
        <w:rPr>
          <w:rFonts w:ascii="Times New Roman" w:hAnsi="Times New Roman" w:cs="Times New Roman"/>
          <w:iCs/>
          <w:sz w:val="24"/>
          <w:szCs w:val="24"/>
        </w:rPr>
      </w:pPr>
    </w:p>
    <w:p w14:paraId="7C1AF7E6" w14:textId="263FE432" w:rsidR="00C06B40" w:rsidRPr="00C11832" w:rsidRDefault="00394B23" w:rsidP="00C11832">
      <w:pPr>
        <w:pStyle w:val="a9"/>
        <w:numPr>
          <w:ilvl w:val="0"/>
          <w:numId w:val="10"/>
        </w:numPr>
        <w:autoSpaceDE w:val="0"/>
        <w:autoSpaceDN w:val="0"/>
        <w:adjustRightInd w:val="0"/>
        <w:spacing w:after="0" w:line="240" w:lineRule="auto"/>
        <w:ind w:left="567" w:hanging="567"/>
        <w:rPr>
          <w:rFonts w:ascii="Times New Roman" w:hAnsi="Times New Roman" w:cs="Times New Roman"/>
          <w:b/>
          <w:iCs/>
          <w:sz w:val="24"/>
          <w:szCs w:val="24"/>
        </w:rPr>
      </w:pPr>
      <w:r w:rsidRPr="00C11832">
        <w:rPr>
          <w:rFonts w:ascii="Times New Roman" w:hAnsi="Times New Roman" w:cs="Times New Roman"/>
          <w:b/>
          <w:iCs/>
          <w:sz w:val="24"/>
          <w:szCs w:val="24"/>
        </w:rPr>
        <w:lastRenderedPageBreak/>
        <w:t>Источники к главе 10 «Международная практика регулирования депозитариев на финансовых рынках»</w:t>
      </w:r>
      <w:r w:rsidR="00132001">
        <w:rPr>
          <w:rFonts w:ascii="Times New Roman" w:hAnsi="Times New Roman" w:cs="Times New Roman"/>
          <w:b/>
          <w:iCs/>
          <w:sz w:val="24"/>
          <w:szCs w:val="24"/>
        </w:rPr>
        <w:t xml:space="preserve"> и другим главам.</w:t>
      </w:r>
    </w:p>
    <w:p w14:paraId="747B2025" w14:textId="77777777" w:rsidR="008657C0" w:rsidRPr="008657C0" w:rsidRDefault="008657C0" w:rsidP="008657C0">
      <w:pPr>
        <w:autoSpaceDE w:val="0"/>
        <w:autoSpaceDN w:val="0"/>
        <w:adjustRightInd w:val="0"/>
        <w:spacing w:after="0" w:line="240" w:lineRule="auto"/>
        <w:jc w:val="both"/>
        <w:rPr>
          <w:rFonts w:ascii="Times New Roman" w:hAnsi="Times New Roman" w:cs="Times New Roman"/>
          <w:iCs/>
          <w:sz w:val="24"/>
          <w:szCs w:val="24"/>
        </w:rPr>
      </w:pPr>
    </w:p>
    <w:p w14:paraId="38E85FD0" w14:textId="301E2EA9" w:rsidR="009B19FB" w:rsidRPr="00CE3E01" w:rsidRDefault="009B19FB" w:rsidP="00CE3E01">
      <w:pPr>
        <w:pStyle w:val="a9"/>
        <w:numPr>
          <w:ilvl w:val="0"/>
          <w:numId w:val="14"/>
        </w:numPr>
        <w:autoSpaceDE w:val="0"/>
        <w:autoSpaceDN w:val="0"/>
        <w:adjustRightInd w:val="0"/>
        <w:spacing w:after="0" w:line="240" w:lineRule="auto"/>
        <w:ind w:left="567" w:hanging="567"/>
        <w:jc w:val="both"/>
        <w:rPr>
          <w:rFonts w:ascii="Times New Roman" w:hAnsi="Times New Roman" w:cs="Times New Roman"/>
          <w:sz w:val="24"/>
          <w:szCs w:val="24"/>
        </w:rPr>
      </w:pPr>
      <w:r w:rsidRPr="00CE3E01">
        <w:rPr>
          <w:rFonts w:ascii="Times New Roman" w:hAnsi="Times New Roman" w:cs="Times New Roman"/>
          <w:sz w:val="24"/>
          <w:szCs w:val="24"/>
        </w:rPr>
        <w:t>Договор о Евразийском экономическом союзе (ЕАЭС) от 24 мая 2014 г. (с последующими изменениями и дополнениями).</w:t>
      </w:r>
    </w:p>
    <w:p w14:paraId="76BD2AF1" w14:textId="2287EBC9" w:rsidR="00B34B1C" w:rsidRPr="00CE3E01" w:rsidRDefault="00E1667D" w:rsidP="00CE3E01">
      <w:pPr>
        <w:pStyle w:val="a9"/>
        <w:numPr>
          <w:ilvl w:val="0"/>
          <w:numId w:val="14"/>
        </w:numPr>
        <w:autoSpaceDE w:val="0"/>
        <w:autoSpaceDN w:val="0"/>
        <w:adjustRightInd w:val="0"/>
        <w:spacing w:after="0" w:line="240" w:lineRule="auto"/>
        <w:ind w:left="567" w:hanging="567"/>
        <w:jc w:val="both"/>
        <w:rPr>
          <w:rFonts w:ascii="Times New Roman" w:hAnsi="Times New Roman" w:cs="Times New Roman"/>
          <w:sz w:val="24"/>
          <w:szCs w:val="24"/>
        </w:rPr>
      </w:pPr>
      <w:r w:rsidRPr="00CE3E01">
        <w:rPr>
          <w:rFonts w:ascii="Times New Roman" w:hAnsi="Times New Roman" w:cs="Times New Roman"/>
          <w:sz w:val="24"/>
          <w:szCs w:val="24"/>
        </w:rPr>
        <w:t>Рекомендации ФАТФ. Международные стандарты по противодействию отмыванию денег, финансированию терроризма и финансирова</w:t>
      </w:r>
      <w:r w:rsidR="00B34B1C" w:rsidRPr="00CE3E01">
        <w:rPr>
          <w:rFonts w:ascii="Times New Roman" w:hAnsi="Times New Roman" w:cs="Times New Roman"/>
          <w:sz w:val="24"/>
          <w:szCs w:val="24"/>
        </w:rPr>
        <w:t>нию</w:t>
      </w:r>
      <w:r w:rsidRPr="00CE3E01">
        <w:rPr>
          <w:rFonts w:ascii="Times New Roman" w:hAnsi="Times New Roman" w:cs="Times New Roman"/>
          <w:sz w:val="24"/>
          <w:szCs w:val="24"/>
        </w:rPr>
        <w:t xml:space="preserve"> распространения оружия массового</w:t>
      </w:r>
      <w:r w:rsidR="00B34B1C" w:rsidRPr="00CE3E01">
        <w:rPr>
          <w:rFonts w:ascii="Times New Roman" w:hAnsi="Times New Roman" w:cs="Times New Roman"/>
          <w:sz w:val="24"/>
          <w:szCs w:val="24"/>
        </w:rPr>
        <w:t xml:space="preserve"> уничтожения / Пер. с англ.— М.</w:t>
      </w:r>
      <w:r w:rsidRPr="00CE3E01">
        <w:rPr>
          <w:rFonts w:ascii="Times New Roman" w:hAnsi="Times New Roman" w:cs="Times New Roman"/>
          <w:sz w:val="24"/>
          <w:szCs w:val="24"/>
        </w:rPr>
        <w:t>: Вече, 2012</w:t>
      </w:r>
      <w:r w:rsidR="00B34B1C" w:rsidRPr="00CE3E01">
        <w:rPr>
          <w:rFonts w:ascii="Times New Roman" w:hAnsi="Times New Roman" w:cs="Times New Roman"/>
          <w:sz w:val="24"/>
          <w:szCs w:val="24"/>
        </w:rPr>
        <w:t xml:space="preserve">. Перевод подготовлен АНО «МУМЦФМ» с разрешения ФАТФ. Размещен на официальном сайте в информационно-телекоммуникационной сети Интернет Евразийской группы по противодействию легализации преступных доходов и финансированию терроризма (ЕАГ): </w:t>
      </w:r>
      <w:hyperlink r:id="rId16" w:history="1">
        <w:r w:rsidR="00B34B1C" w:rsidRPr="00CE3E01">
          <w:rPr>
            <w:rStyle w:val="af7"/>
            <w:rFonts w:ascii="Times New Roman" w:hAnsi="Times New Roman" w:cs="Times New Roman"/>
            <w:sz w:val="24"/>
            <w:szCs w:val="24"/>
          </w:rPr>
          <w:t>http://eurasiangroup.org/Rekomendatcii_FATF.pdf</w:t>
        </w:r>
      </w:hyperlink>
      <w:r w:rsidR="00B34B1C" w:rsidRPr="00CE3E01">
        <w:rPr>
          <w:rFonts w:ascii="Times New Roman" w:hAnsi="Times New Roman" w:cs="Times New Roman"/>
          <w:sz w:val="24"/>
          <w:szCs w:val="24"/>
        </w:rPr>
        <w:t xml:space="preserve"> </w:t>
      </w:r>
    </w:p>
    <w:p w14:paraId="5A64FB97" w14:textId="77777777" w:rsidR="00E47B2E" w:rsidRPr="00CE3E01" w:rsidRDefault="00E47B2E" w:rsidP="00CE3E01">
      <w:pPr>
        <w:pStyle w:val="a9"/>
        <w:numPr>
          <w:ilvl w:val="0"/>
          <w:numId w:val="14"/>
        </w:numPr>
        <w:autoSpaceDE w:val="0"/>
        <w:autoSpaceDN w:val="0"/>
        <w:adjustRightInd w:val="0"/>
        <w:spacing w:after="0" w:line="240" w:lineRule="auto"/>
        <w:ind w:left="567" w:hanging="567"/>
        <w:jc w:val="both"/>
        <w:rPr>
          <w:rStyle w:val="af6"/>
          <w:rFonts w:ascii="Times New Roman" w:hAnsi="Times New Roman" w:cs="Times New Roman"/>
          <w:b w:val="0"/>
          <w:bCs w:val="0"/>
          <w:sz w:val="24"/>
          <w:szCs w:val="24"/>
        </w:rPr>
      </w:pPr>
      <w:r w:rsidRPr="00CE3E01">
        <w:rPr>
          <w:rFonts w:ascii="Times New Roman" w:hAnsi="Times New Roman" w:cs="Times New Roman"/>
          <w:sz w:val="24"/>
          <w:szCs w:val="24"/>
        </w:rPr>
        <w:t xml:space="preserve">Письмо Банка России от 29 июня 2012 года № 94-Т «О документе Комитета по платежным и расчетным системам «Принципы для инфраструктур финансового рынка», содержащего перевод документа Международной организации комиссий по ценным бумагам </w:t>
      </w:r>
      <w:r w:rsidRPr="00CE3E01">
        <w:rPr>
          <w:rFonts w:ascii="Times New Roman" w:hAnsi="Times New Roman" w:cs="Times New Roman"/>
          <w:b/>
          <w:sz w:val="24"/>
          <w:szCs w:val="24"/>
        </w:rPr>
        <w:t>(</w:t>
      </w:r>
      <w:r w:rsidRPr="00CE3E01">
        <w:rPr>
          <w:rStyle w:val="af6"/>
          <w:rFonts w:ascii="Times New Roman" w:hAnsi="Times New Roman" w:cs="Times New Roman"/>
          <w:b w:val="0"/>
          <w:sz w:val="24"/>
          <w:szCs w:val="24"/>
        </w:rPr>
        <w:t>IOSCO).</w:t>
      </w:r>
    </w:p>
    <w:p w14:paraId="0DE67472" w14:textId="77777777" w:rsidR="00E47B2E" w:rsidRPr="00E47B2E" w:rsidRDefault="00E47B2E" w:rsidP="00CE3E01">
      <w:pPr>
        <w:pStyle w:val="Default"/>
        <w:numPr>
          <w:ilvl w:val="0"/>
          <w:numId w:val="14"/>
        </w:numPr>
        <w:ind w:left="567" w:hanging="567"/>
        <w:jc w:val="both"/>
        <w:rPr>
          <w:color w:val="auto"/>
        </w:rPr>
      </w:pPr>
      <w:r w:rsidRPr="00E47B2E">
        <w:rPr>
          <w:color w:val="auto"/>
        </w:rPr>
        <w:t>Директива Европейского Парламента и Совета Европейского Союза от 21 апреля 2004 года N 2004/39/ЕС «О рынках финансовых инструментов и внесении изменений в Директивы 85/611/ЕЭС Совета ЕС, 93/6/ЕЭС, Директиву 2000/12/ЕС Европейского парламента и Совета ЕС, а также об отмене Директивы 93/22/ЕЭС Совета ЕС» (</w:t>
      </w:r>
      <w:r w:rsidRPr="00E47B2E">
        <w:rPr>
          <w:color w:val="auto"/>
          <w:lang w:val="en-US"/>
        </w:rPr>
        <w:t>Directive</w:t>
      </w:r>
      <w:r w:rsidRPr="00E47B2E">
        <w:rPr>
          <w:color w:val="auto"/>
        </w:rPr>
        <w:t xml:space="preserve"> 2004/39/</w:t>
      </w:r>
      <w:r w:rsidRPr="00E47B2E">
        <w:rPr>
          <w:color w:val="auto"/>
          <w:lang w:val="en-US"/>
        </w:rPr>
        <w:t>EC</w:t>
      </w:r>
      <w:r w:rsidRPr="00E47B2E">
        <w:rPr>
          <w:color w:val="auto"/>
        </w:rPr>
        <w:t xml:space="preserve"> </w:t>
      </w:r>
      <w:r w:rsidRPr="00E47B2E">
        <w:rPr>
          <w:color w:val="auto"/>
          <w:lang w:val="en-US"/>
        </w:rPr>
        <w:t>of</w:t>
      </w:r>
      <w:r w:rsidRPr="00E47B2E">
        <w:rPr>
          <w:color w:val="auto"/>
        </w:rPr>
        <w:t xml:space="preserve"> </w:t>
      </w:r>
      <w:r w:rsidRPr="00E47B2E">
        <w:rPr>
          <w:color w:val="auto"/>
          <w:lang w:val="en-US"/>
        </w:rPr>
        <w:t>the</w:t>
      </w:r>
      <w:r w:rsidRPr="00E47B2E">
        <w:rPr>
          <w:color w:val="auto"/>
        </w:rPr>
        <w:t xml:space="preserve"> </w:t>
      </w:r>
      <w:r w:rsidRPr="00E47B2E">
        <w:rPr>
          <w:color w:val="auto"/>
          <w:lang w:val="en-US"/>
        </w:rPr>
        <w:t>European</w:t>
      </w:r>
      <w:r w:rsidRPr="00E47B2E">
        <w:rPr>
          <w:color w:val="auto"/>
        </w:rPr>
        <w:t xml:space="preserve"> </w:t>
      </w:r>
      <w:r w:rsidRPr="00E47B2E">
        <w:rPr>
          <w:color w:val="auto"/>
          <w:lang w:val="en-US"/>
        </w:rPr>
        <w:t>Parliament</w:t>
      </w:r>
      <w:r w:rsidRPr="00E47B2E">
        <w:rPr>
          <w:color w:val="auto"/>
        </w:rPr>
        <w:t xml:space="preserve"> </w:t>
      </w:r>
      <w:r w:rsidRPr="00E47B2E">
        <w:rPr>
          <w:color w:val="auto"/>
          <w:lang w:val="en-US"/>
        </w:rPr>
        <w:t>and</w:t>
      </w:r>
      <w:r w:rsidRPr="00E47B2E">
        <w:rPr>
          <w:color w:val="auto"/>
        </w:rPr>
        <w:t xml:space="preserve"> </w:t>
      </w:r>
      <w:r w:rsidRPr="00E47B2E">
        <w:rPr>
          <w:color w:val="auto"/>
          <w:lang w:val="en-US"/>
        </w:rPr>
        <w:t>of</w:t>
      </w:r>
      <w:r w:rsidRPr="00E47B2E">
        <w:rPr>
          <w:color w:val="auto"/>
        </w:rPr>
        <w:t xml:space="preserve"> </w:t>
      </w:r>
      <w:r w:rsidRPr="00E47B2E">
        <w:rPr>
          <w:color w:val="auto"/>
          <w:lang w:val="en-US"/>
        </w:rPr>
        <w:t>the</w:t>
      </w:r>
      <w:r w:rsidRPr="00E47B2E">
        <w:rPr>
          <w:color w:val="auto"/>
        </w:rPr>
        <w:t xml:space="preserve"> </w:t>
      </w:r>
      <w:r w:rsidRPr="00E47B2E">
        <w:rPr>
          <w:color w:val="auto"/>
          <w:lang w:val="en-US"/>
        </w:rPr>
        <w:t>Council</w:t>
      </w:r>
      <w:r w:rsidRPr="00E47B2E">
        <w:rPr>
          <w:color w:val="auto"/>
        </w:rPr>
        <w:t xml:space="preserve"> </w:t>
      </w:r>
      <w:r w:rsidRPr="00E47B2E">
        <w:rPr>
          <w:color w:val="auto"/>
          <w:lang w:val="en-US"/>
        </w:rPr>
        <w:t>of</w:t>
      </w:r>
      <w:r w:rsidRPr="00E47B2E">
        <w:rPr>
          <w:color w:val="auto"/>
        </w:rPr>
        <w:t xml:space="preserve"> 21 </w:t>
      </w:r>
      <w:r w:rsidRPr="00E47B2E">
        <w:rPr>
          <w:color w:val="auto"/>
          <w:lang w:val="en-US"/>
        </w:rPr>
        <w:t>April</w:t>
      </w:r>
      <w:r w:rsidRPr="00E47B2E">
        <w:rPr>
          <w:color w:val="auto"/>
        </w:rPr>
        <w:t xml:space="preserve"> 2004 </w:t>
      </w:r>
      <w:r w:rsidRPr="00E47B2E">
        <w:rPr>
          <w:color w:val="auto"/>
          <w:lang w:val="en-US"/>
        </w:rPr>
        <w:t>on</w:t>
      </w:r>
      <w:r w:rsidRPr="00E47B2E">
        <w:rPr>
          <w:color w:val="auto"/>
        </w:rPr>
        <w:t xml:space="preserve"> </w:t>
      </w:r>
      <w:r w:rsidRPr="00E47B2E">
        <w:rPr>
          <w:color w:val="auto"/>
          <w:lang w:val="en-US"/>
        </w:rPr>
        <w:t>markets</w:t>
      </w:r>
      <w:r w:rsidRPr="00E47B2E">
        <w:rPr>
          <w:color w:val="auto"/>
        </w:rPr>
        <w:t xml:space="preserve"> </w:t>
      </w:r>
      <w:r w:rsidRPr="00E47B2E">
        <w:rPr>
          <w:color w:val="auto"/>
          <w:lang w:val="en-US"/>
        </w:rPr>
        <w:t>in</w:t>
      </w:r>
      <w:r w:rsidRPr="00E47B2E">
        <w:rPr>
          <w:color w:val="auto"/>
        </w:rPr>
        <w:t xml:space="preserve"> </w:t>
      </w:r>
      <w:r w:rsidRPr="00E47B2E">
        <w:rPr>
          <w:color w:val="auto"/>
          <w:lang w:val="en-US"/>
        </w:rPr>
        <w:t>financial</w:t>
      </w:r>
      <w:r w:rsidRPr="00E47B2E">
        <w:rPr>
          <w:color w:val="auto"/>
        </w:rPr>
        <w:t xml:space="preserve"> </w:t>
      </w:r>
      <w:r w:rsidRPr="00E47B2E">
        <w:rPr>
          <w:color w:val="auto"/>
          <w:lang w:val="en-US"/>
        </w:rPr>
        <w:t>instruments</w:t>
      </w:r>
      <w:r w:rsidRPr="00E47B2E">
        <w:rPr>
          <w:color w:val="auto"/>
        </w:rPr>
        <w:t xml:space="preserve"> </w:t>
      </w:r>
      <w:r w:rsidRPr="00E47B2E">
        <w:rPr>
          <w:color w:val="auto"/>
          <w:lang w:val="en-US"/>
        </w:rPr>
        <w:t>amending</w:t>
      </w:r>
      <w:r w:rsidRPr="00E47B2E">
        <w:rPr>
          <w:color w:val="auto"/>
        </w:rPr>
        <w:t xml:space="preserve"> </w:t>
      </w:r>
      <w:r w:rsidRPr="00E47B2E">
        <w:rPr>
          <w:color w:val="auto"/>
          <w:lang w:val="en-US"/>
        </w:rPr>
        <w:t>Council</w:t>
      </w:r>
      <w:r w:rsidRPr="00E47B2E">
        <w:rPr>
          <w:color w:val="auto"/>
        </w:rPr>
        <w:t xml:space="preserve"> </w:t>
      </w:r>
      <w:r w:rsidRPr="00E47B2E">
        <w:rPr>
          <w:color w:val="auto"/>
          <w:lang w:val="en-US"/>
        </w:rPr>
        <w:t>Directives</w:t>
      </w:r>
      <w:r w:rsidRPr="00E47B2E">
        <w:rPr>
          <w:color w:val="auto"/>
        </w:rPr>
        <w:t xml:space="preserve"> 85/611/</w:t>
      </w:r>
      <w:r w:rsidRPr="00E47B2E">
        <w:rPr>
          <w:color w:val="auto"/>
          <w:lang w:val="en-US"/>
        </w:rPr>
        <w:t>EEC</w:t>
      </w:r>
      <w:r w:rsidRPr="00E47B2E">
        <w:rPr>
          <w:color w:val="auto"/>
        </w:rPr>
        <w:t xml:space="preserve"> </w:t>
      </w:r>
      <w:r w:rsidRPr="00E47B2E">
        <w:rPr>
          <w:color w:val="auto"/>
          <w:lang w:val="en-US"/>
        </w:rPr>
        <w:t>and</w:t>
      </w:r>
      <w:r w:rsidRPr="00E47B2E">
        <w:rPr>
          <w:color w:val="auto"/>
        </w:rPr>
        <w:t xml:space="preserve"> 93/6/</w:t>
      </w:r>
      <w:r w:rsidRPr="00E47B2E">
        <w:rPr>
          <w:color w:val="auto"/>
          <w:lang w:val="en-US"/>
        </w:rPr>
        <w:t>EEC</w:t>
      </w:r>
      <w:r w:rsidRPr="00E47B2E">
        <w:rPr>
          <w:color w:val="auto"/>
        </w:rPr>
        <w:t xml:space="preserve"> </w:t>
      </w:r>
      <w:r w:rsidRPr="00E47B2E">
        <w:rPr>
          <w:color w:val="auto"/>
          <w:lang w:val="en-US"/>
        </w:rPr>
        <w:t>and</w:t>
      </w:r>
      <w:r w:rsidRPr="00E47B2E">
        <w:rPr>
          <w:color w:val="auto"/>
        </w:rPr>
        <w:t xml:space="preserve"> </w:t>
      </w:r>
      <w:r w:rsidRPr="00E47B2E">
        <w:rPr>
          <w:color w:val="auto"/>
          <w:lang w:val="en-US"/>
        </w:rPr>
        <w:t>Directive</w:t>
      </w:r>
      <w:r w:rsidRPr="00E47B2E">
        <w:rPr>
          <w:color w:val="auto"/>
        </w:rPr>
        <w:t xml:space="preserve"> 2000/12/</w:t>
      </w:r>
      <w:r w:rsidRPr="00E47B2E">
        <w:rPr>
          <w:color w:val="auto"/>
          <w:lang w:val="en-US"/>
        </w:rPr>
        <w:t>EC</w:t>
      </w:r>
      <w:r w:rsidRPr="00E47B2E">
        <w:rPr>
          <w:color w:val="auto"/>
        </w:rPr>
        <w:t xml:space="preserve"> </w:t>
      </w:r>
      <w:r w:rsidRPr="00E47B2E">
        <w:rPr>
          <w:color w:val="auto"/>
          <w:lang w:val="en-US"/>
        </w:rPr>
        <w:t>of</w:t>
      </w:r>
      <w:r w:rsidRPr="00E47B2E">
        <w:rPr>
          <w:color w:val="auto"/>
        </w:rPr>
        <w:t xml:space="preserve"> </w:t>
      </w:r>
      <w:r w:rsidRPr="00E47B2E">
        <w:rPr>
          <w:color w:val="auto"/>
          <w:lang w:val="en-US"/>
        </w:rPr>
        <w:t>the</w:t>
      </w:r>
      <w:r w:rsidRPr="00E47B2E">
        <w:rPr>
          <w:color w:val="auto"/>
        </w:rPr>
        <w:t xml:space="preserve"> </w:t>
      </w:r>
      <w:r w:rsidRPr="00E47B2E">
        <w:rPr>
          <w:color w:val="auto"/>
          <w:lang w:val="en-US"/>
        </w:rPr>
        <w:t>European</w:t>
      </w:r>
      <w:r w:rsidRPr="00E47B2E">
        <w:rPr>
          <w:color w:val="auto"/>
        </w:rPr>
        <w:t xml:space="preserve"> </w:t>
      </w:r>
      <w:r w:rsidRPr="00E47B2E">
        <w:rPr>
          <w:color w:val="auto"/>
          <w:lang w:val="en-US"/>
        </w:rPr>
        <w:t>Parliament</w:t>
      </w:r>
      <w:r w:rsidRPr="00E47B2E">
        <w:rPr>
          <w:color w:val="auto"/>
        </w:rPr>
        <w:t xml:space="preserve"> </w:t>
      </w:r>
      <w:r w:rsidRPr="00E47B2E">
        <w:rPr>
          <w:color w:val="auto"/>
          <w:lang w:val="en-US"/>
        </w:rPr>
        <w:t>and</w:t>
      </w:r>
      <w:r w:rsidRPr="00E47B2E">
        <w:rPr>
          <w:color w:val="auto"/>
        </w:rPr>
        <w:t xml:space="preserve"> </w:t>
      </w:r>
      <w:r w:rsidRPr="00E47B2E">
        <w:rPr>
          <w:color w:val="auto"/>
          <w:lang w:val="en-US"/>
        </w:rPr>
        <w:t>of</w:t>
      </w:r>
      <w:r w:rsidRPr="00E47B2E">
        <w:rPr>
          <w:color w:val="auto"/>
        </w:rPr>
        <w:t xml:space="preserve"> </w:t>
      </w:r>
      <w:r w:rsidRPr="00E47B2E">
        <w:rPr>
          <w:color w:val="auto"/>
          <w:lang w:val="en-US"/>
        </w:rPr>
        <w:t>the</w:t>
      </w:r>
      <w:r w:rsidRPr="00E47B2E">
        <w:rPr>
          <w:color w:val="auto"/>
        </w:rPr>
        <w:t xml:space="preserve"> </w:t>
      </w:r>
      <w:r w:rsidRPr="00E47B2E">
        <w:rPr>
          <w:color w:val="auto"/>
          <w:lang w:val="en-US"/>
        </w:rPr>
        <w:t>Council</w:t>
      </w:r>
      <w:r w:rsidRPr="00E47B2E">
        <w:rPr>
          <w:color w:val="auto"/>
        </w:rPr>
        <w:t xml:space="preserve"> </w:t>
      </w:r>
      <w:r w:rsidRPr="00E47B2E">
        <w:rPr>
          <w:color w:val="auto"/>
          <w:lang w:val="en-US"/>
        </w:rPr>
        <w:t>and</w:t>
      </w:r>
      <w:r w:rsidRPr="00E47B2E">
        <w:rPr>
          <w:color w:val="auto"/>
        </w:rPr>
        <w:t xml:space="preserve"> </w:t>
      </w:r>
      <w:r w:rsidRPr="00E47B2E">
        <w:rPr>
          <w:color w:val="auto"/>
          <w:lang w:val="en-US"/>
        </w:rPr>
        <w:t>repealing</w:t>
      </w:r>
      <w:r w:rsidRPr="00E47B2E">
        <w:rPr>
          <w:color w:val="auto"/>
        </w:rPr>
        <w:t xml:space="preserve"> </w:t>
      </w:r>
      <w:r w:rsidRPr="00E47B2E">
        <w:rPr>
          <w:color w:val="auto"/>
          <w:lang w:val="en-US"/>
        </w:rPr>
        <w:t>Council</w:t>
      </w:r>
      <w:r w:rsidRPr="00E47B2E">
        <w:rPr>
          <w:color w:val="auto"/>
        </w:rPr>
        <w:t xml:space="preserve"> </w:t>
      </w:r>
      <w:r w:rsidRPr="00E47B2E">
        <w:rPr>
          <w:color w:val="auto"/>
          <w:lang w:val="en-US"/>
        </w:rPr>
        <w:t>Directive</w:t>
      </w:r>
      <w:r w:rsidRPr="00E47B2E">
        <w:rPr>
          <w:color w:val="auto"/>
        </w:rPr>
        <w:t xml:space="preserve"> 93/22/</w:t>
      </w:r>
      <w:r w:rsidRPr="00E47B2E">
        <w:rPr>
          <w:color w:val="auto"/>
          <w:lang w:val="en-US"/>
        </w:rPr>
        <w:t>EEC</w:t>
      </w:r>
      <w:r w:rsidRPr="00E47B2E">
        <w:rPr>
          <w:color w:val="auto"/>
        </w:rPr>
        <w:t>)</w:t>
      </w:r>
      <w:r>
        <w:rPr>
          <w:color w:val="auto"/>
        </w:rPr>
        <w:t>.</w:t>
      </w:r>
    </w:p>
    <w:p w14:paraId="7A1D7A4F" w14:textId="77777777" w:rsidR="00E47B2E" w:rsidRPr="00CE3E01" w:rsidRDefault="00E47B2E" w:rsidP="00CE3E01">
      <w:pPr>
        <w:pStyle w:val="a9"/>
        <w:numPr>
          <w:ilvl w:val="0"/>
          <w:numId w:val="14"/>
        </w:numPr>
        <w:autoSpaceDE w:val="0"/>
        <w:autoSpaceDN w:val="0"/>
        <w:adjustRightInd w:val="0"/>
        <w:spacing w:after="0" w:line="240" w:lineRule="auto"/>
        <w:ind w:left="567" w:hanging="567"/>
        <w:jc w:val="both"/>
        <w:rPr>
          <w:rFonts w:ascii="Times New Roman" w:hAnsi="Times New Roman" w:cs="Times New Roman"/>
          <w:sz w:val="24"/>
          <w:szCs w:val="24"/>
        </w:rPr>
      </w:pPr>
      <w:r w:rsidRPr="00CE3E01">
        <w:rPr>
          <w:rFonts w:ascii="Times New Roman" w:hAnsi="Times New Roman" w:cs="Times New Roman"/>
          <w:sz w:val="24"/>
          <w:szCs w:val="24"/>
        </w:rPr>
        <w:t>Директива Европейского Парламента и Совета Европейского Союза от 15 мая 2014 года N 2014/65/ЕС «О рынках финансовых инструментов с поправками к Директиве 2002/92/ЕС и Директиве 2011/61/ЕС» (</w:t>
      </w:r>
      <w:r w:rsidRPr="00CE3E01">
        <w:rPr>
          <w:rFonts w:ascii="Times New Roman" w:hAnsi="Times New Roman" w:cs="Times New Roman"/>
          <w:sz w:val="24"/>
          <w:szCs w:val="24"/>
          <w:lang w:val="en-US"/>
        </w:rPr>
        <w:t>Directive</w:t>
      </w:r>
      <w:r w:rsidRPr="00CE3E01">
        <w:rPr>
          <w:rFonts w:ascii="Times New Roman" w:hAnsi="Times New Roman" w:cs="Times New Roman"/>
          <w:sz w:val="24"/>
          <w:szCs w:val="24"/>
        </w:rPr>
        <w:t xml:space="preserve"> 2014/65/</w:t>
      </w:r>
      <w:r w:rsidRPr="00CE3E01">
        <w:rPr>
          <w:rFonts w:ascii="Times New Roman" w:hAnsi="Times New Roman" w:cs="Times New Roman"/>
          <w:sz w:val="24"/>
          <w:szCs w:val="24"/>
          <w:lang w:val="en-US"/>
        </w:rPr>
        <w:t>EU</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of</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the</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European</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Parliament</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and</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of</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the</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Council</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of</w:t>
      </w:r>
      <w:r w:rsidRPr="00CE3E01">
        <w:rPr>
          <w:rFonts w:ascii="Times New Roman" w:hAnsi="Times New Roman" w:cs="Times New Roman"/>
          <w:sz w:val="24"/>
          <w:szCs w:val="24"/>
        </w:rPr>
        <w:t xml:space="preserve"> 15 </w:t>
      </w:r>
      <w:r w:rsidRPr="00CE3E01">
        <w:rPr>
          <w:rFonts w:ascii="Times New Roman" w:hAnsi="Times New Roman" w:cs="Times New Roman"/>
          <w:sz w:val="24"/>
          <w:szCs w:val="24"/>
          <w:lang w:val="en-US"/>
        </w:rPr>
        <w:t>May</w:t>
      </w:r>
      <w:r w:rsidRPr="00CE3E01">
        <w:rPr>
          <w:rFonts w:ascii="Times New Roman" w:hAnsi="Times New Roman" w:cs="Times New Roman"/>
          <w:sz w:val="24"/>
          <w:szCs w:val="24"/>
        </w:rPr>
        <w:t xml:space="preserve"> 2014 </w:t>
      </w:r>
      <w:r w:rsidRPr="00CE3E01">
        <w:rPr>
          <w:rFonts w:ascii="Times New Roman" w:hAnsi="Times New Roman" w:cs="Times New Roman"/>
          <w:sz w:val="24"/>
          <w:szCs w:val="24"/>
          <w:lang w:val="en-US"/>
        </w:rPr>
        <w:t>on</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markets</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in</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financial</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instruments</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and</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amending</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Directive</w:t>
      </w:r>
      <w:r w:rsidRPr="00CE3E01">
        <w:rPr>
          <w:rFonts w:ascii="Times New Roman" w:hAnsi="Times New Roman" w:cs="Times New Roman"/>
          <w:sz w:val="24"/>
          <w:szCs w:val="24"/>
        </w:rPr>
        <w:t xml:space="preserve"> 2002/92/</w:t>
      </w:r>
      <w:r w:rsidRPr="00CE3E01">
        <w:rPr>
          <w:rFonts w:ascii="Times New Roman" w:hAnsi="Times New Roman" w:cs="Times New Roman"/>
          <w:sz w:val="24"/>
          <w:szCs w:val="24"/>
          <w:lang w:val="en-US"/>
        </w:rPr>
        <w:t>EC</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and</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Directive</w:t>
      </w:r>
      <w:r w:rsidRPr="00CE3E01">
        <w:rPr>
          <w:rFonts w:ascii="Times New Roman" w:hAnsi="Times New Roman" w:cs="Times New Roman"/>
          <w:sz w:val="24"/>
          <w:szCs w:val="24"/>
        </w:rPr>
        <w:t xml:space="preserve"> 2011/61/</w:t>
      </w:r>
      <w:r w:rsidRPr="00CE3E01">
        <w:rPr>
          <w:rFonts w:ascii="Times New Roman" w:hAnsi="Times New Roman" w:cs="Times New Roman"/>
          <w:sz w:val="24"/>
          <w:szCs w:val="24"/>
          <w:lang w:val="en-US"/>
        </w:rPr>
        <w:t>EU</w:t>
      </w:r>
      <w:r w:rsidRPr="00CE3E01">
        <w:rPr>
          <w:rFonts w:ascii="Times New Roman" w:hAnsi="Times New Roman" w:cs="Times New Roman"/>
          <w:sz w:val="24"/>
          <w:szCs w:val="24"/>
        </w:rPr>
        <w:t>).</w:t>
      </w:r>
    </w:p>
    <w:p w14:paraId="57EA156B" w14:textId="01B600F9" w:rsidR="00E47B2E" w:rsidRPr="00CE3E01" w:rsidRDefault="00E47B2E" w:rsidP="007055DC">
      <w:pPr>
        <w:pStyle w:val="a9"/>
        <w:numPr>
          <w:ilvl w:val="0"/>
          <w:numId w:val="14"/>
        </w:numPr>
        <w:autoSpaceDE w:val="0"/>
        <w:autoSpaceDN w:val="0"/>
        <w:adjustRightInd w:val="0"/>
        <w:spacing w:after="0" w:line="240" w:lineRule="auto"/>
        <w:ind w:left="567" w:hanging="567"/>
        <w:jc w:val="both"/>
        <w:rPr>
          <w:rFonts w:ascii="Times New Roman" w:hAnsi="Times New Roman" w:cs="Times New Roman"/>
          <w:sz w:val="24"/>
          <w:szCs w:val="24"/>
        </w:rPr>
      </w:pPr>
      <w:r w:rsidRPr="00CE3E01">
        <w:rPr>
          <w:rFonts w:ascii="Times New Roman" w:hAnsi="Times New Roman" w:cs="Times New Roman"/>
          <w:sz w:val="24"/>
          <w:szCs w:val="24"/>
        </w:rPr>
        <w:t xml:space="preserve">Перевод на русский язык Директивы Европейского Парламента и Совета Европейского Союза от 15 мая 2014 года N 2014/65/ЕС «О рынках финансовых инструментов с поправками к Директиве 2002/92/ЕС и Директиве 2011/61/ЕС», размещенный на официальном сайте Банка России в информационно-телекоммуникационной сети Интернет: </w:t>
      </w:r>
      <w:hyperlink r:id="rId17" w:history="1">
        <w:r w:rsidRPr="00CE3E01">
          <w:rPr>
            <w:rStyle w:val="af7"/>
            <w:rFonts w:ascii="Times New Roman" w:hAnsi="Times New Roman" w:cs="Times New Roman"/>
            <w:sz w:val="24"/>
            <w:szCs w:val="24"/>
          </w:rPr>
          <w:t>https://www.cbr.ru/finmarkets/files/legislation/MiFiD2.pdf</w:t>
        </w:r>
      </w:hyperlink>
      <w:r w:rsidRPr="00CE3E01">
        <w:rPr>
          <w:rFonts w:ascii="Times New Roman" w:hAnsi="Times New Roman" w:cs="Times New Roman"/>
          <w:sz w:val="24"/>
          <w:szCs w:val="24"/>
        </w:rPr>
        <w:t xml:space="preserve"> </w:t>
      </w:r>
    </w:p>
    <w:p w14:paraId="4B0DE85C" w14:textId="0DF50B42" w:rsidR="008657C0" w:rsidRPr="00CE3E01" w:rsidRDefault="00C11832" w:rsidP="00CE3E01">
      <w:pPr>
        <w:pStyle w:val="a9"/>
        <w:numPr>
          <w:ilvl w:val="0"/>
          <w:numId w:val="14"/>
        </w:numPr>
        <w:autoSpaceDE w:val="0"/>
        <w:autoSpaceDN w:val="0"/>
        <w:adjustRightInd w:val="0"/>
        <w:spacing w:after="0" w:line="240" w:lineRule="auto"/>
        <w:ind w:left="567" w:hanging="567"/>
        <w:jc w:val="both"/>
        <w:rPr>
          <w:rFonts w:ascii="Times New Roman" w:hAnsi="Times New Roman" w:cs="Times New Roman"/>
          <w:sz w:val="24"/>
          <w:szCs w:val="24"/>
        </w:rPr>
      </w:pPr>
      <w:r w:rsidRPr="00CE3E01">
        <w:rPr>
          <w:rFonts w:ascii="Times New Roman" w:hAnsi="Times New Roman" w:cs="Times New Roman"/>
          <w:sz w:val="24"/>
          <w:szCs w:val="24"/>
        </w:rPr>
        <w:t xml:space="preserve">Рубен Ли. Работа мировых рынков: управление финансовой инфраструктурой. – М.: Альпина </w:t>
      </w:r>
      <w:proofErr w:type="spellStart"/>
      <w:r w:rsidRPr="00CE3E01">
        <w:rPr>
          <w:rFonts w:ascii="Times New Roman" w:hAnsi="Times New Roman" w:cs="Times New Roman"/>
          <w:sz w:val="24"/>
          <w:szCs w:val="24"/>
        </w:rPr>
        <w:t>Паблишер</w:t>
      </w:r>
      <w:proofErr w:type="spellEnd"/>
      <w:r w:rsidRPr="00CE3E01">
        <w:rPr>
          <w:rFonts w:ascii="Times New Roman" w:hAnsi="Times New Roman" w:cs="Times New Roman"/>
          <w:sz w:val="24"/>
          <w:szCs w:val="24"/>
        </w:rPr>
        <w:t>, 2016</w:t>
      </w:r>
    </w:p>
    <w:p w14:paraId="1AF22ECC" w14:textId="20ED6C88" w:rsidR="00301926" w:rsidRPr="00CE3E01" w:rsidRDefault="00F25E59" w:rsidP="00CE3E01">
      <w:pPr>
        <w:pStyle w:val="a9"/>
        <w:numPr>
          <w:ilvl w:val="0"/>
          <w:numId w:val="14"/>
        </w:numPr>
        <w:spacing w:after="4" w:line="266" w:lineRule="auto"/>
        <w:ind w:left="567" w:right="127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официальных сайтов</w:t>
      </w:r>
      <w:r w:rsidR="00301926" w:rsidRPr="00CE3E01">
        <w:rPr>
          <w:rFonts w:ascii="Times New Roman" w:eastAsia="Times New Roman" w:hAnsi="Times New Roman" w:cs="Times New Roman"/>
          <w:sz w:val="24"/>
          <w:szCs w:val="24"/>
        </w:rPr>
        <w:t xml:space="preserve"> в информационно-телекоммуникационной сети Интернет</w:t>
      </w:r>
      <w:r w:rsidR="00E47B2E" w:rsidRPr="00CE3E01">
        <w:rPr>
          <w:rFonts w:ascii="Times New Roman" w:eastAsia="Times New Roman" w:hAnsi="Times New Roman" w:cs="Times New Roman"/>
          <w:sz w:val="24"/>
          <w:szCs w:val="24"/>
        </w:rPr>
        <w:t>:</w:t>
      </w:r>
    </w:p>
    <w:p w14:paraId="4562ED4C" w14:textId="12633AFA" w:rsidR="008F36C0" w:rsidRPr="00CE3E01" w:rsidRDefault="008F36C0" w:rsidP="00CE3E01">
      <w:pPr>
        <w:pStyle w:val="a9"/>
        <w:numPr>
          <w:ilvl w:val="0"/>
          <w:numId w:val="15"/>
        </w:numPr>
        <w:spacing w:after="0" w:line="240" w:lineRule="auto"/>
        <w:ind w:left="1134" w:right="1270" w:hanging="425"/>
        <w:rPr>
          <w:rFonts w:ascii="Times New Roman" w:eastAsia="Times New Roman" w:hAnsi="Times New Roman" w:cs="Times New Roman"/>
          <w:sz w:val="24"/>
          <w:szCs w:val="24"/>
        </w:rPr>
      </w:pPr>
      <w:r w:rsidRPr="00CE3E01">
        <w:rPr>
          <w:rFonts w:ascii="Times New Roman" w:eastAsia="Times New Roman" w:hAnsi="Times New Roman" w:cs="Times New Roman"/>
          <w:sz w:val="24"/>
          <w:szCs w:val="24"/>
        </w:rPr>
        <w:t>Центрального банка Российской Федерации (Банка России)</w:t>
      </w:r>
      <w:r w:rsidR="00EB2177" w:rsidRPr="00CE3E01">
        <w:rPr>
          <w:rFonts w:ascii="Times New Roman" w:eastAsia="Times New Roman" w:hAnsi="Times New Roman" w:cs="Times New Roman"/>
          <w:sz w:val="24"/>
          <w:szCs w:val="24"/>
        </w:rPr>
        <w:t xml:space="preserve"> - </w:t>
      </w:r>
      <w:hyperlink r:id="rId18" w:history="1">
        <w:r w:rsidR="00EB2177" w:rsidRPr="00CE3E01">
          <w:rPr>
            <w:rStyle w:val="af7"/>
            <w:rFonts w:ascii="Times New Roman" w:eastAsia="Times New Roman" w:hAnsi="Times New Roman" w:cs="Times New Roman"/>
            <w:sz w:val="24"/>
            <w:szCs w:val="24"/>
          </w:rPr>
          <w:t>http://cbr.ru</w:t>
        </w:r>
      </w:hyperlink>
      <w:r w:rsidR="00CE3E01">
        <w:rPr>
          <w:rFonts w:ascii="Times New Roman" w:eastAsia="Times New Roman" w:hAnsi="Times New Roman" w:cs="Times New Roman"/>
          <w:sz w:val="24"/>
          <w:szCs w:val="24"/>
        </w:rPr>
        <w:t>;</w:t>
      </w:r>
    </w:p>
    <w:p w14:paraId="6F00C6B4" w14:textId="49DF30E2" w:rsidR="00B85284" w:rsidRPr="00CE3E01" w:rsidRDefault="00B85284" w:rsidP="00CE3E01">
      <w:pPr>
        <w:pStyle w:val="a9"/>
        <w:numPr>
          <w:ilvl w:val="0"/>
          <w:numId w:val="15"/>
        </w:numPr>
        <w:spacing w:after="0" w:line="240" w:lineRule="auto"/>
        <w:ind w:left="1134" w:right="1270" w:hanging="425"/>
        <w:rPr>
          <w:rFonts w:ascii="Times New Roman" w:hAnsi="Times New Roman" w:cs="Times New Roman"/>
          <w:sz w:val="24"/>
          <w:szCs w:val="24"/>
        </w:rPr>
      </w:pPr>
      <w:r w:rsidRPr="00CE3E01">
        <w:rPr>
          <w:rFonts w:ascii="Times New Roman" w:hAnsi="Times New Roman" w:cs="Times New Roman"/>
          <w:sz w:val="24"/>
          <w:szCs w:val="24"/>
        </w:rPr>
        <w:t>Евразийского экономического союза (ЕАЭС)</w:t>
      </w:r>
      <w:r w:rsidR="00EB2177" w:rsidRPr="00CE3E01">
        <w:rPr>
          <w:rFonts w:ascii="Times New Roman" w:hAnsi="Times New Roman" w:cs="Times New Roman"/>
          <w:sz w:val="24"/>
          <w:szCs w:val="24"/>
        </w:rPr>
        <w:t xml:space="preserve"> - </w:t>
      </w:r>
      <w:hyperlink r:id="rId19" w:history="1">
        <w:r w:rsidR="00EB2177" w:rsidRPr="00CE3E01">
          <w:rPr>
            <w:rStyle w:val="af7"/>
            <w:rFonts w:ascii="Times New Roman" w:hAnsi="Times New Roman" w:cs="Times New Roman"/>
            <w:sz w:val="24"/>
            <w:szCs w:val="24"/>
          </w:rPr>
          <w:t>http://www.eaeunion.org</w:t>
        </w:r>
      </w:hyperlink>
      <w:r w:rsidR="00CE3E01">
        <w:rPr>
          <w:rFonts w:ascii="Times New Roman" w:hAnsi="Times New Roman" w:cs="Times New Roman"/>
          <w:sz w:val="24"/>
          <w:szCs w:val="24"/>
        </w:rPr>
        <w:t>;</w:t>
      </w:r>
    </w:p>
    <w:p w14:paraId="1128C828" w14:textId="52956F64" w:rsidR="00B85284" w:rsidRPr="00CE3E01" w:rsidRDefault="00B85284" w:rsidP="00CE3E01">
      <w:pPr>
        <w:pStyle w:val="a9"/>
        <w:numPr>
          <w:ilvl w:val="0"/>
          <w:numId w:val="15"/>
        </w:numPr>
        <w:spacing w:after="0" w:line="240" w:lineRule="auto"/>
        <w:ind w:left="1134" w:right="1270" w:hanging="425"/>
        <w:rPr>
          <w:rFonts w:ascii="Times New Roman" w:hAnsi="Times New Roman" w:cs="Times New Roman"/>
          <w:sz w:val="24"/>
          <w:szCs w:val="24"/>
        </w:rPr>
      </w:pPr>
      <w:r w:rsidRPr="00CE3E01">
        <w:rPr>
          <w:rFonts w:ascii="Times New Roman" w:hAnsi="Times New Roman" w:cs="Times New Roman"/>
          <w:sz w:val="24"/>
          <w:szCs w:val="24"/>
        </w:rPr>
        <w:t>Евразийской экономической комиссии (ЕЭК)</w:t>
      </w:r>
      <w:r w:rsidR="00EB2177" w:rsidRPr="00CE3E01">
        <w:rPr>
          <w:rFonts w:ascii="Times New Roman" w:hAnsi="Times New Roman" w:cs="Times New Roman"/>
          <w:sz w:val="24"/>
          <w:szCs w:val="24"/>
        </w:rPr>
        <w:t xml:space="preserve"> - </w:t>
      </w:r>
      <w:hyperlink r:id="rId20" w:history="1">
        <w:r w:rsidR="00EB2177" w:rsidRPr="00CE3E01">
          <w:rPr>
            <w:rStyle w:val="af7"/>
            <w:rFonts w:ascii="Times New Roman" w:hAnsi="Times New Roman" w:cs="Times New Roman"/>
            <w:sz w:val="24"/>
            <w:szCs w:val="24"/>
          </w:rPr>
          <w:t>http://eec.eaeunion.org</w:t>
        </w:r>
      </w:hyperlink>
      <w:r w:rsidR="00CE3E01">
        <w:rPr>
          <w:rFonts w:ascii="Times New Roman" w:hAnsi="Times New Roman" w:cs="Times New Roman"/>
          <w:sz w:val="24"/>
          <w:szCs w:val="24"/>
        </w:rPr>
        <w:t>;</w:t>
      </w:r>
    </w:p>
    <w:p w14:paraId="6F7A6C93" w14:textId="557A5ED8" w:rsidR="00B85284" w:rsidRPr="00CE3E01" w:rsidRDefault="00B85284" w:rsidP="00CE3E01">
      <w:pPr>
        <w:pStyle w:val="a9"/>
        <w:numPr>
          <w:ilvl w:val="0"/>
          <w:numId w:val="15"/>
        </w:numPr>
        <w:spacing w:after="0" w:line="240" w:lineRule="auto"/>
        <w:ind w:left="1134" w:right="1270" w:hanging="425"/>
        <w:rPr>
          <w:rFonts w:ascii="Times New Roman" w:hAnsi="Times New Roman" w:cs="Times New Roman"/>
          <w:sz w:val="24"/>
          <w:szCs w:val="24"/>
        </w:rPr>
      </w:pPr>
      <w:r w:rsidRPr="00CE3E01">
        <w:rPr>
          <w:rFonts w:ascii="Times New Roman" w:hAnsi="Times New Roman" w:cs="Times New Roman"/>
          <w:sz w:val="24"/>
          <w:szCs w:val="24"/>
        </w:rPr>
        <w:t>Правового портала Евразийского экономического союза (ЕАЭС)</w:t>
      </w:r>
      <w:r w:rsidR="00EB2177" w:rsidRPr="00CE3E01">
        <w:rPr>
          <w:rFonts w:ascii="Times New Roman" w:hAnsi="Times New Roman" w:cs="Times New Roman"/>
          <w:sz w:val="24"/>
          <w:szCs w:val="24"/>
        </w:rPr>
        <w:t xml:space="preserve"> - </w:t>
      </w:r>
      <w:hyperlink r:id="rId21" w:history="1">
        <w:r w:rsidR="00EB2177" w:rsidRPr="00CE3E01">
          <w:rPr>
            <w:rStyle w:val="af7"/>
            <w:rFonts w:ascii="Times New Roman" w:hAnsi="Times New Roman" w:cs="Times New Roman"/>
            <w:sz w:val="24"/>
            <w:szCs w:val="24"/>
          </w:rPr>
          <w:t>https://docs.eaeunion.org</w:t>
        </w:r>
      </w:hyperlink>
      <w:r w:rsidR="00CE3E01">
        <w:rPr>
          <w:rFonts w:ascii="Times New Roman" w:hAnsi="Times New Roman" w:cs="Times New Roman"/>
          <w:sz w:val="24"/>
          <w:szCs w:val="24"/>
        </w:rPr>
        <w:t>;</w:t>
      </w:r>
    </w:p>
    <w:p w14:paraId="11D0CCC1" w14:textId="79B9518C" w:rsidR="00D30FBD" w:rsidRPr="00CE3E01" w:rsidRDefault="00D30FBD" w:rsidP="00CE3E01">
      <w:pPr>
        <w:pStyle w:val="a9"/>
        <w:numPr>
          <w:ilvl w:val="0"/>
          <w:numId w:val="15"/>
        </w:numPr>
        <w:spacing w:after="0" w:line="240" w:lineRule="auto"/>
        <w:ind w:left="1134" w:hanging="425"/>
        <w:rPr>
          <w:rFonts w:ascii="Times New Roman" w:hAnsi="Times New Roman" w:cs="Times New Roman"/>
          <w:sz w:val="24"/>
          <w:szCs w:val="24"/>
        </w:rPr>
      </w:pPr>
      <w:r w:rsidRPr="00CE3E01">
        <w:rPr>
          <w:rFonts w:ascii="Times New Roman" w:hAnsi="Times New Roman" w:cs="Times New Roman"/>
          <w:sz w:val="24"/>
          <w:szCs w:val="24"/>
        </w:rPr>
        <w:t>Совета по финансовой стабильности (</w:t>
      </w:r>
      <w:r w:rsidRPr="00CE3E01">
        <w:rPr>
          <w:rFonts w:ascii="Times New Roman" w:hAnsi="Times New Roman" w:cs="Times New Roman"/>
          <w:sz w:val="24"/>
          <w:szCs w:val="24"/>
          <w:lang w:val="en-US"/>
        </w:rPr>
        <w:t>Financial</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Stability</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Board</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FSB</w:t>
      </w:r>
      <w:r w:rsidRPr="00CE3E01">
        <w:rPr>
          <w:rFonts w:ascii="Times New Roman" w:hAnsi="Times New Roman" w:cs="Times New Roman"/>
          <w:sz w:val="24"/>
          <w:szCs w:val="24"/>
        </w:rPr>
        <w:t xml:space="preserve">) </w:t>
      </w:r>
      <w:r w:rsidR="00EB2177" w:rsidRPr="00CE3E01">
        <w:rPr>
          <w:rFonts w:ascii="Times New Roman" w:hAnsi="Times New Roman" w:cs="Times New Roman"/>
          <w:sz w:val="24"/>
          <w:szCs w:val="24"/>
        </w:rPr>
        <w:t xml:space="preserve">- </w:t>
      </w:r>
      <w:hyperlink r:id="rId22" w:history="1">
        <w:r w:rsidR="00EB2177" w:rsidRPr="00CE3E01">
          <w:rPr>
            <w:rStyle w:val="af7"/>
            <w:rFonts w:ascii="Times New Roman" w:hAnsi="Times New Roman" w:cs="Times New Roman"/>
            <w:sz w:val="24"/>
            <w:szCs w:val="24"/>
          </w:rPr>
          <w:t>http://www.fsb.org</w:t>
        </w:r>
      </w:hyperlink>
      <w:r w:rsidR="00CE3E01">
        <w:rPr>
          <w:rFonts w:ascii="Times New Roman" w:hAnsi="Times New Roman" w:cs="Times New Roman"/>
          <w:sz w:val="24"/>
          <w:szCs w:val="24"/>
        </w:rPr>
        <w:t>;</w:t>
      </w:r>
    </w:p>
    <w:p w14:paraId="3B0C95B1" w14:textId="272B7BCB" w:rsidR="00320156" w:rsidRPr="00CE3E01" w:rsidRDefault="00AC50AF" w:rsidP="00CE3E01">
      <w:pPr>
        <w:pStyle w:val="a9"/>
        <w:numPr>
          <w:ilvl w:val="0"/>
          <w:numId w:val="15"/>
        </w:numPr>
        <w:spacing w:after="0" w:line="240" w:lineRule="auto"/>
        <w:ind w:left="1134" w:hanging="425"/>
        <w:rPr>
          <w:rFonts w:ascii="Times New Roman" w:hAnsi="Times New Roman" w:cs="Times New Roman"/>
          <w:color w:val="222222"/>
          <w:sz w:val="24"/>
          <w:szCs w:val="24"/>
          <w:shd w:val="clear" w:color="auto" w:fill="FFFFFF"/>
        </w:rPr>
      </w:pPr>
      <w:r w:rsidRPr="00CE3E01">
        <w:rPr>
          <w:rFonts w:ascii="Times New Roman" w:hAnsi="Times New Roman" w:cs="Times New Roman"/>
          <w:bCs/>
          <w:color w:val="222222"/>
          <w:sz w:val="24"/>
          <w:szCs w:val="24"/>
          <w:shd w:val="clear" w:color="auto" w:fill="FFFFFF"/>
        </w:rPr>
        <w:lastRenderedPageBreak/>
        <w:t>Группы</w:t>
      </w:r>
      <w:r w:rsidR="003B265A" w:rsidRPr="00CE3E01">
        <w:rPr>
          <w:rFonts w:ascii="Times New Roman" w:hAnsi="Times New Roman" w:cs="Times New Roman"/>
          <w:bCs/>
          <w:color w:val="222222"/>
          <w:sz w:val="24"/>
          <w:szCs w:val="24"/>
          <w:shd w:val="clear" w:color="auto" w:fill="FFFFFF"/>
        </w:rPr>
        <w:t xml:space="preserve"> разработки финансовых мер борьбы с отмыванием денег</w:t>
      </w:r>
      <w:r w:rsidR="006471BB">
        <w:rPr>
          <w:rFonts w:ascii="Times New Roman" w:hAnsi="Times New Roman" w:cs="Times New Roman"/>
          <w:color w:val="222222"/>
          <w:sz w:val="24"/>
          <w:szCs w:val="24"/>
          <w:shd w:val="clear" w:color="auto" w:fill="FFFFFF"/>
        </w:rPr>
        <w:t xml:space="preserve"> </w:t>
      </w:r>
      <w:r w:rsidR="003B265A" w:rsidRPr="00CE3E01">
        <w:rPr>
          <w:rFonts w:ascii="Times New Roman" w:hAnsi="Times New Roman" w:cs="Times New Roman"/>
          <w:color w:val="222222"/>
          <w:sz w:val="24"/>
          <w:szCs w:val="24"/>
          <w:shd w:val="clear" w:color="auto" w:fill="FFFFFF"/>
        </w:rPr>
        <w:t>(ФАТФ</w:t>
      </w:r>
      <w:r w:rsidRPr="00CE3E01">
        <w:rPr>
          <w:rFonts w:ascii="Times New Roman" w:hAnsi="Times New Roman" w:cs="Times New Roman"/>
          <w:color w:val="222222"/>
          <w:sz w:val="24"/>
          <w:szCs w:val="24"/>
          <w:shd w:val="clear" w:color="auto" w:fill="FFFFFF"/>
        </w:rPr>
        <w:t>) (</w:t>
      </w:r>
      <w:r w:rsidR="003B265A" w:rsidRPr="00CE3E01">
        <w:rPr>
          <w:rFonts w:ascii="Times New Roman" w:hAnsi="Times New Roman" w:cs="Times New Roman"/>
          <w:iCs/>
          <w:color w:val="222222"/>
          <w:sz w:val="24"/>
          <w:szCs w:val="24"/>
          <w:shd w:val="clear" w:color="auto" w:fill="FFFFFF"/>
          <w:lang w:val="en"/>
        </w:rPr>
        <w:t>Financial</w:t>
      </w:r>
      <w:r w:rsidR="003B265A" w:rsidRPr="00CE3E01">
        <w:rPr>
          <w:rFonts w:ascii="Times New Roman" w:hAnsi="Times New Roman" w:cs="Times New Roman"/>
          <w:iCs/>
          <w:color w:val="222222"/>
          <w:sz w:val="24"/>
          <w:szCs w:val="24"/>
          <w:shd w:val="clear" w:color="auto" w:fill="FFFFFF"/>
        </w:rPr>
        <w:t xml:space="preserve"> </w:t>
      </w:r>
      <w:r w:rsidR="003B265A" w:rsidRPr="00CE3E01">
        <w:rPr>
          <w:rFonts w:ascii="Times New Roman" w:hAnsi="Times New Roman" w:cs="Times New Roman"/>
          <w:iCs/>
          <w:color w:val="222222"/>
          <w:sz w:val="24"/>
          <w:szCs w:val="24"/>
          <w:shd w:val="clear" w:color="auto" w:fill="FFFFFF"/>
          <w:lang w:val="en"/>
        </w:rPr>
        <w:t>Action</w:t>
      </w:r>
      <w:r w:rsidR="003B265A" w:rsidRPr="00CE3E01">
        <w:rPr>
          <w:rFonts w:ascii="Times New Roman" w:hAnsi="Times New Roman" w:cs="Times New Roman"/>
          <w:iCs/>
          <w:color w:val="222222"/>
          <w:sz w:val="24"/>
          <w:szCs w:val="24"/>
          <w:shd w:val="clear" w:color="auto" w:fill="FFFFFF"/>
        </w:rPr>
        <w:t xml:space="preserve"> </w:t>
      </w:r>
      <w:r w:rsidR="003B265A" w:rsidRPr="00CE3E01">
        <w:rPr>
          <w:rFonts w:ascii="Times New Roman" w:hAnsi="Times New Roman" w:cs="Times New Roman"/>
          <w:iCs/>
          <w:color w:val="222222"/>
          <w:sz w:val="24"/>
          <w:szCs w:val="24"/>
          <w:shd w:val="clear" w:color="auto" w:fill="FFFFFF"/>
          <w:lang w:val="en"/>
        </w:rPr>
        <w:t>Task</w:t>
      </w:r>
      <w:r w:rsidR="003B265A" w:rsidRPr="00CE3E01">
        <w:rPr>
          <w:rFonts w:ascii="Times New Roman" w:hAnsi="Times New Roman" w:cs="Times New Roman"/>
          <w:iCs/>
          <w:color w:val="222222"/>
          <w:sz w:val="24"/>
          <w:szCs w:val="24"/>
          <w:shd w:val="clear" w:color="auto" w:fill="FFFFFF"/>
        </w:rPr>
        <w:t xml:space="preserve"> </w:t>
      </w:r>
      <w:r w:rsidR="003B265A" w:rsidRPr="00CE3E01">
        <w:rPr>
          <w:rFonts w:ascii="Times New Roman" w:hAnsi="Times New Roman" w:cs="Times New Roman"/>
          <w:iCs/>
          <w:color w:val="222222"/>
          <w:sz w:val="24"/>
          <w:szCs w:val="24"/>
          <w:shd w:val="clear" w:color="auto" w:fill="FFFFFF"/>
          <w:lang w:val="en"/>
        </w:rPr>
        <w:t>Force</w:t>
      </w:r>
      <w:r w:rsidR="003B265A" w:rsidRPr="00CE3E01">
        <w:rPr>
          <w:rFonts w:ascii="Times New Roman" w:hAnsi="Times New Roman" w:cs="Times New Roman"/>
          <w:iCs/>
          <w:color w:val="222222"/>
          <w:sz w:val="24"/>
          <w:szCs w:val="24"/>
          <w:shd w:val="clear" w:color="auto" w:fill="FFFFFF"/>
        </w:rPr>
        <w:t xml:space="preserve"> </w:t>
      </w:r>
      <w:r w:rsidR="003B265A" w:rsidRPr="00CE3E01">
        <w:rPr>
          <w:rFonts w:ascii="Times New Roman" w:hAnsi="Times New Roman" w:cs="Times New Roman"/>
          <w:iCs/>
          <w:color w:val="222222"/>
          <w:sz w:val="24"/>
          <w:szCs w:val="24"/>
          <w:shd w:val="clear" w:color="auto" w:fill="FFFFFF"/>
          <w:lang w:val="en"/>
        </w:rPr>
        <w:t>on</w:t>
      </w:r>
      <w:r w:rsidR="003B265A" w:rsidRPr="00CE3E01">
        <w:rPr>
          <w:rFonts w:ascii="Times New Roman" w:hAnsi="Times New Roman" w:cs="Times New Roman"/>
          <w:iCs/>
          <w:color w:val="222222"/>
          <w:sz w:val="24"/>
          <w:szCs w:val="24"/>
          <w:shd w:val="clear" w:color="auto" w:fill="FFFFFF"/>
        </w:rPr>
        <w:t xml:space="preserve"> </w:t>
      </w:r>
      <w:r w:rsidR="003B265A" w:rsidRPr="00CE3E01">
        <w:rPr>
          <w:rFonts w:ascii="Times New Roman" w:hAnsi="Times New Roman" w:cs="Times New Roman"/>
          <w:iCs/>
          <w:color w:val="222222"/>
          <w:sz w:val="24"/>
          <w:szCs w:val="24"/>
          <w:shd w:val="clear" w:color="auto" w:fill="FFFFFF"/>
          <w:lang w:val="en"/>
        </w:rPr>
        <w:t>Money</w:t>
      </w:r>
      <w:r w:rsidR="003B265A" w:rsidRPr="00CE3E01">
        <w:rPr>
          <w:rFonts w:ascii="Times New Roman" w:hAnsi="Times New Roman" w:cs="Times New Roman"/>
          <w:iCs/>
          <w:color w:val="222222"/>
          <w:sz w:val="24"/>
          <w:szCs w:val="24"/>
          <w:shd w:val="clear" w:color="auto" w:fill="FFFFFF"/>
        </w:rPr>
        <w:t xml:space="preserve"> </w:t>
      </w:r>
      <w:r w:rsidR="003B265A" w:rsidRPr="00CE3E01">
        <w:rPr>
          <w:rFonts w:ascii="Times New Roman" w:hAnsi="Times New Roman" w:cs="Times New Roman"/>
          <w:iCs/>
          <w:color w:val="222222"/>
          <w:sz w:val="24"/>
          <w:szCs w:val="24"/>
          <w:shd w:val="clear" w:color="auto" w:fill="FFFFFF"/>
          <w:lang w:val="en"/>
        </w:rPr>
        <w:t>Laundering</w:t>
      </w:r>
      <w:r w:rsidRPr="00CE3E01">
        <w:rPr>
          <w:rFonts w:ascii="Times New Roman" w:hAnsi="Times New Roman" w:cs="Times New Roman"/>
          <w:color w:val="222222"/>
          <w:sz w:val="24"/>
          <w:szCs w:val="24"/>
          <w:shd w:val="clear" w:color="auto" w:fill="FFFFFF"/>
        </w:rPr>
        <w:t xml:space="preserve">, </w:t>
      </w:r>
      <w:r w:rsidR="003B265A" w:rsidRPr="00CE3E01">
        <w:rPr>
          <w:rFonts w:ascii="Times New Roman" w:hAnsi="Times New Roman" w:cs="Times New Roman"/>
          <w:iCs/>
          <w:color w:val="222222"/>
          <w:sz w:val="24"/>
          <w:szCs w:val="24"/>
          <w:shd w:val="clear" w:color="auto" w:fill="FFFFFF"/>
          <w:lang w:val="en"/>
        </w:rPr>
        <w:t>FATF</w:t>
      </w:r>
      <w:r w:rsidR="003B265A" w:rsidRPr="00CE3E01">
        <w:rPr>
          <w:rFonts w:ascii="Times New Roman" w:hAnsi="Times New Roman" w:cs="Times New Roman"/>
          <w:color w:val="222222"/>
          <w:sz w:val="24"/>
          <w:szCs w:val="24"/>
          <w:shd w:val="clear" w:color="auto" w:fill="FFFFFF"/>
        </w:rPr>
        <w:t>)</w:t>
      </w:r>
      <w:r w:rsidR="00EB2177" w:rsidRPr="00CE3E01">
        <w:rPr>
          <w:rFonts w:ascii="Times New Roman" w:hAnsi="Times New Roman" w:cs="Times New Roman"/>
          <w:color w:val="222222"/>
          <w:sz w:val="24"/>
          <w:szCs w:val="24"/>
          <w:shd w:val="clear" w:color="auto" w:fill="FFFFFF"/>
        </w:rPr>
        <w:t xml:space="preserve"> - </w:t>
      </w:r>
      <w:hyperlink r:id="rId23" w:history="1">
        <w:r w:rsidR="00EB2177" w:rsidRPr="00CE3E01">
          <w:rPr>
            <w:rStyle w:val="af7"/>
            <w:rFonts w:ascii="Times New Roman" w:hAnsi="Times New Roman" w:cs="Times New Roman"/>
            <w:sz w:val="24"/>
            <w:szCs w:val="24"/>
            <w:shd w:val="clear" w:color="auto" w:fill="FFFFFF"/>
          </w:rPr>
          <w:t>http://www.fatf-gafi.org</w:t>
        </w:r>
      </w:hyperlink>
      <w:r w:rsidR="00CE3E01">
        <w:rPr>
          <w:rFonts w:ascii="Times New Roman" w:hAnsi="Times New Roman" w:cs="Times New Roman"/>
          <w:color w:val="222222"/>
          <w:sz w:val="24"/>
          <w:szCs w:val="24"/>
          <w:shd w:val="clear" w:color="auto" w:fill="FFFFFF"/>
        </w:rPr>
        <w:t>;</w:t>
      </w:r>
    </w:p>
    <w:p w14:paraId="36E5D2D8" w14:textId="5D74208C" w:rsidR="00AC50AF" w:rsidRPr="00CE3E01" w:rsidRDefault="00AC50AF" w:rsidP="00CE3E01">
      <w:pPr>
        <w:pStyle w:val="a9"/>
        <w:numPr>
          <w:ilvl w:val="0"/>
          <w:numId w:val="15"/>
        </w:numPr>
        <w:spacing w:after="0" w:line="240" w:lineRule="auto"/>
        <w:ind w:left="1134" w:hanging="425"/>
        <w:rPr>
          <w:rFonts w:ascii="Times New Roman" w:hAnsi="Times New Roman" w:cs="Times New Roman"/>
          <w:sz w:val="24"/>
          <w:szCs w:val="24"/>
        </w:rPr>
      </w:pPr>
      <w:r w:rsidRPr="00CE3E01">
        <w:rPr>
          <w:rFonts w:ascii="Times New Roman" w:hAnsi="Times New Roman" w:cs="Times New Roman"/>
          <w:sz w:val="24"/>
          <w:szCs w:val="24"/>
        </w:rPr>
        <w:t>Евразийской группы по противодействию легализации преступных доходов и финансированию терроризма (ЕАГ) (</w:t>
      </w:r>
      <w:r w:rsidRPr="00CE3E01">
        <w:rPr>
          <w:rFonts w:ascii="Times New Roman" w:hAnsi="Times New Roman" w:cs="Times New Roman"/>
          <w:sz w:val="24"/>
          <w:szCs w:val="24"/>
          <w:lang w:val="en-US"/>
        </w:rPr>
        <w:t>Eurasian</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Group</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on</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Combating</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Money</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Laundering</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and</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financing</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of</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terrorism</w:t>
      </w:r>
      <w:r w:rsidRPr="00CE3E01">
        <w:rPr>
          <w:rFonts w:ascii="Times New Roman" w:hAnsi="Times New Roman" w:cs="Times New Roman"/>
          <w:sz w:val="24"/>
          <w:szCs w:val="24"/>
        </w:rPr>
        <w:t xml:space="preserve">, </w:t>
      </w:r>
      <w:r w:rsidRPr="00CE3E01">
        <w:rPr>
          <w:rFonts w:ascii="Times New Roman" w:hAnsi="Times New Roman" w:cs="Times New Roman"/>
          <w:sz w:val="24"/>
          <w:szCs w:val="24"/>
          <w:lang w:val="en-US"/>
        </w:rPr>
        <w:t>EAG</w:t>
      </w:r>
      <w:r w:rsidRPr="00CE3E01">
        <w:rPr>
          <w:rFonts w:ascii="Times New Roman" w:hAnsi="Times New Roman" w:cs="Times New Roman"/>
          <w:sz w:val="24"/>
          <w:szCs w:val="24"/>
        </w:rPr>
        <w:t>)</w:t>
      </w:r>
      <w:r w:rsidR="00EB2177" w:rsidRPr="00CE3E01">
        <w:rPr>
          <w:rFonts w:ascii="Times New Roman" w:hAnsi="Times New Roman" w:cs="Times New Roman"/>
          <w:sz w:val="24"/>
          <w:szCs w:val="24"/>
        </w:rPr>
        <w:t xml:space="preserve"> - </w:t>
      </w:r>
      <w:hyperlink r:id="rId24" w:history="1">
        <w:r w:rsidR="00EB2177" w:rsidRPr="00CE3E01">
          <w:rPr>
            <w:rStyle w:val="af7"/>
            <w:rFonts w:ascii="Times New Roman" w:hAnsi="Times New Roman" w:cs="Times New Roman"/>
            <w:sz w:val="24"/>
            <w:szCs w:val="24"/>
          </w:rPr>
          <w:t>http://www.eurasiangroup.org</w:t>
        </w:r>
      </w:hyperlink>
      <w:r w:rsidR="00CE3E01">
        <w:rPr>
          <w:rFonts w:ascii="Times New Roman" w:hAnsi="Times New Roman" w:cs="Times New Roman"/>
          <w:sz w:val="24"/>
          <w:szCs w:val="24"/>
        </w:rPr>
        <w:t>;</w:t>
      </w:r>
    </w:p>
    <w:p w14:paraId="124BC8C8" w14:textId="1824F914" w:rsidR="00D30FBD" w:rsidRPr="00CE3E01" w:rsidRDefault="00D30FBD" w:rsidP="00CE3E01">
      <w:pPr>
        <w:pStyle w:val="a9"/>
        <w:numPr>
          <w:ilvl w:val="0"/>
          <w:numId w:val="15"/>
        </w:numPr>
        <w:spacing w:after="0" w:line="240" w:lineRule="auto"/>
        <w:ind w:left="1134" w:hanging="425"/>
        <w:rPr>
          <w:rFonts w:ascii="Times New Roman" w:hAnsi="Times New Roman" w:cs="Times New Roman"/>
          <w:color w:val="000000"/>
          <w:sz w:val="24"/>
          <w:szCs w:val="24"/>
        </w:rPr>
      </w:pPr>
      <w:r w:rsidRPr="00CE3E01">
        <w:rPr>
          <w:rFonts w:ascii="Times New Roman" w:hAnsi="Times New Roman" w:cs="Times New Roman"/>
          <w:color w:val="000000"/>
          <w:sz w:val="24"/>
          <w:szCs w:val="24"/>
        </w:rPr>
        <w:t>Международной организации комиссий по ценным бумагам (МОКЦБ) (</w:t>
      </w:r>
      <w:r w:rsidRPr="00CE3E01">
        <w:rPr>
          <w:rFonts w:ascii="Times New Roman" w:hAnsi="Times New Roman" w:cs="Times New Roman"/>
          <w:color w:val="000000"/>
          <w:sz w:val="24"/>
          <w:szCs w:val="24"/>
          <w:lang w:val="en-US"/>
        </w:rPr>
        <w:t>International</w:t>
      </w:r>
      <w:r w:rsidRPr="00CE3E01">
        <w:rPr>
          <w:rFonts w:ascii="Times New Roman" w:hAnsi="Times New Roman" w:cs="Times New Roman"/>
          <w:color w:val="000000"/>
          <w:sz w:val="24"/>
          <w:szCs w:val="24"/>
        </w:rPr>
        <w:t xml:space="preserve"> </w:t>
      </w:r>
      <w:r w:rsidRPr="00CE3E01">
        <w:rPr>
          <w:rFonts w:ascii="Times New Roman" w:hAnsi="Times New Roman" w:cs="Times New Roman"/>
          <w:color w:val="000000"/>
          <w:sz w:val="24"/>
          <w:szCs w:val="24"/>
          <w:lang w:val="en-US"/>
        </w:rPr>
        <w:t>Organization</w:t>
      </w:r>
      <w:r w:rsidRPr="00CE3E01">
        <w:rPr>
          <w:rFonts w:ascii="Times New Roman" w:hAnsi="Times New Roman" w:cs="Times New Roman"/>
          <w:color w:val="000000"/>
          <w:sz w:val="24"/>
          <w:szCs w:val="24"/>
        </w:rPr>
        <w:t xml:space="preserve"> </w:t>
      </w:r>
      <w:r w:rsidRPr="00CE3E01">
        <w:rPr>
          <w:rFonts w:ascii="Times New Roman" w:hAnsi="Times New Roman" w:cs="Times New Roman"/>
          <w:color w:val="000000"/>
          <w:sz w:val="24"/>
          <w:szCs w:val="24"/>
          <w:lang w:val="en-US"/>
        </w:rPr>
        <w:t>of</w:t>
      </w:r>
      <w:r w:rsidRPr="00CE3E01">
        <w:rPr>
          <w:rFonts w:ascii="Times New Roman" w:hAnsi="Times New Roman" w:cs="Times New Roman"/>
          <w:color w:val="000000"/>
          <w:sz w:val="24"/>
          <w:szCs w:val="24"/>
        </w:rPr>
        <w:t xml:space="preserve"> </w:t>
      </w:r>
      <w:r w:rsidRPr="00CE3E01">
        <w:rPr>
          <w:rFonts w:ascii="Times New Roman" w:hAnsi="Times New Roman" w:cs="Times New Roman"/>
          <w:color w:val="000000"/>
          <w:sz w:val="24"/>
          <w:szCs w:val="24"/>
          <w:lang w:val="en-US"/>
        </w:rPr>
        <w:t>Securities</w:t>
      </w:r>
      <w:r w:rsidRPr="00CE3E01">
        <w:rPr>
          <w:rFonts w:ascii="Times New Roman" w:hAnsi="Times New Roman" w:cs="Times New Roman"/>
          <w:color w:val="000000"/>
          <w:sz w:val="24"/>
          <w:szCs w:val="24"/>
        </w:rPr>
        <w:t xml:space="preserve"> </w:t>
      </w:r>
      <w:r w:rsidRPr="00CE3E01">
        <w:rPr>
          <w:rFonts w:ascii="Times New Roman" w:hAnsi="Times New Roman" w:cs="Times New Roman"/>
          <w:color w:val="000000"/>
          <w:sz w:val="24"/>
          <w:szCs w:val="24"/>
          <w:lang w:val="en-US"/>
        </w:rPr>
        <w:t>Commissions</w:t>
      </w:r>
      <w:r w:rsidRPr="00CE3E01">
        <w:rPr>
          <w:rFonts w:ascii="Times New Roman" w:hAnsi="Times New Roman" w:cs="Times New Roman"/>
          <w:color w:val="000000"/>
          <w:sz w:val="24"/>
          <w:szCs w:val="24"/>
        </w:rPr>
        <w:t xml:space="preserve">, </w:t>
      </w:r>
      <w:r w:rsidRPr="00CE3E01">
        <w:rPr>
          <w:rFonts w:ascii="Times New Roman" w:hAnsi="Times New Roman" w:cs="Times New Roman"/>
          <w:color w:val="000000"/>
          <w:sz w:val="24"/>
          <w:szCs w:val="24"/>
          <w:lang w:val="en-US"/>
        </w:rPr>
        <w:t>IOSCO</w:t>
      </w:r>
      <w:r w:rsidRPr="00CE3E01">
        <w:rPr>
          <w:rFonts w:ascii="Times New Roman" w:hAnsi="Times New Roman" w:cs="Times New Roman"/>
          <w:color w:val="000000"/>
          <w:sz w:val="24"/>
          <w:szCs w:val="24"/>
        </w:rPr>
        <w:t>)</w:t>
      </w:r>
      <w:r w:rsidR="00EB2177" w:rsidRPr="00CE3E01">
        <w:rPr>
          <w:rFonts w:ascii="Times New Roman" w:hAnsi="Times New Roman" w:cs="Times New Roman"/>
          <w:color w:val="000000"/>
          <w:sz w:val="24"/>
          <w:szCs w:val="24"/>
        </w:rPr>
        <w:t xml:space="preserve"> - </w:t>
      </w:r>
      <w:hyperlink r:id="rId25" w:history="1">
        <w:r w:rsidR="00EB2177" w:rsidRPr="00CE3E01">
          <w:rPr>
            <w:rStyle w:val="af7"/>
            <w:rFonts w:ascii="Times New Roman" w:hAnsi="Times New Roman" w:cs="Times New Roman"/>
            <w:sz w:val="24"/>
            <w:szCs w:val="24"/>
          </w:rPr>
          <w:t>https://www.iosco.org</w:t>
        </w:r>
      </w:hyperlink>
      <w:r w:rsidR="00CE3E01">
        <w:rPr>
          <w:rFonts w:ascii="Times New Roman" w:hAnsi="Times New Roman" w:cs="Times New Roman"/>
          <w:color w:val="000000"/>
          <w:sz w:val="24"/>
          <w:szCs w:val="24"/>
        </w:rPr>
        <w:t>;</w:t>
      </w:r>
    </w:p>
    <w:p w14:paraId="13F7B036" w14:textId="0146DDF5" w:rsidR="00813F87" w:rsidRPr="00CE3E01" w:rsidRDefault="009328BA" w:rsidP="00CE3E01">
      <w:pPr>
        <w:pStyle w:val="a9"/>
        <w:numPr>
          <w:ilvl w:val="0"/>
          <w:numId w:val="15"/>
        </w:numPr>
        <w:spacing w:after="0" w:line="240" w:lineRule="auto"/>
        <w:ind w:left="1134" w:hanging="425"/>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правовых актов </w:t>
      </w:r>
      <w:r w:rsidR="00A21C32" w:rsidRPr="00CE3E01">
        <w:rPr>
          <w:rFonts w:ascii="Times New Roman" w:hAnsi="Times New Roman" w:cs="Times New Roman"/>
          <w:color w:val="222222"/>
          <w:sz w:val="24"/>
          <w:szCs w:val="24"/>
          <w:shd w:val="clear" w:color="auto" w:fill="FFFFFF"/>
        </w:rPr>
        <w:t>Европейского Союза (ЕС)</w:t>
      </w:r>
      <w:r w:rsidR="000D19F8">
        <w:rPr>
          <w:rFonts w:ascii="Times New Roman" w:hAnsi="Times New Roman" w:cs="Times New Roman"/>
          <w:color w:val="222222"/>
          <w:sz w:val="24"/>
          <w:szCs w:val="24"/>
          <w:shd w:val="clear" w:color="auto" w:fill="FFFFFF"/>
        </w:rPr>
        <w:t xml:space="preserve">, с </w:t>
      </w:r>
      <w:r w:rsidR="00A21C32" w:rsidRPr="00CE3E01">
        <w:rPr>
          <w:rFonts w:ascii="Times New Roman" w:hAnsi="Times New Roman" w:cs="Times New Roman"/>
          <w:color w:val="222222"/>
          <w:sz w:val="24"/>
          <w:szCs w:val="24"/>
          <w:shd w:val="clear" w:color="auto" w:fill="FFFFFF"/>
        </w:rPr>
        <w:t>бесплатны</w:t>
      </w:r>
      <w:r w:rsidR="000D19F8">
        <w:rPr>
          <w:rFonts w:ascii="Times New Roman" w:hAnsi="Times New Roman" w:cs="Times New Roman"/>
          <w:color w:val="222222"/>
          <w:sz w:val="24"/>
          <w:szCs w:val="24"/>
          <w:shd w:val="clear" w:color="auto" w:fill="FFFFFF"/>
        </w:rPr>
        <w:t>м</w:t>
      </w:r>
      <w:r w:rsidR="00A21C32" w:rsidRPr="00CE3E01">
        <w:rPr>
          <w:rFonts w:ascii="Times New Roman" w:hAnsi="Times New Roman" w:cs="Times New Roman"/>
          <w:color w:val="222222"/>
          <w:sz w:val="24"/>
          <w:szCs w:val="24"/>
          <w:shd w:val="clear" w:color="auto" w:fill="FFFFFF"/>
        </w:rPr>
        <w:t xml:space="preserve"> доступ</w:t>
      </w:r>
      <w:r w:rsidR="000D19F8">
        <w:rPr>
          <w:rFonts w:ascii="Times New Roman" w:hAnsi="Times New Roman" w:cs="Times New Roman"/>
          <w:color w:val="222222"/>
          <w:sz w:val="24"/>
          <w:szCs w:val="24"/>
          <w:shd w:val="clear" w:color="auto" w:fill="FFFFFF"/>
        </w:rPr>
        <w:t xml:space="preserve">ом </w:t>
      </w:r>
      <w:r w:rsidR="00A21C32" w:rsidRPr="00CE3E01">
        <w:rPr>
          <w:rFonts w:ascii="Times New Roman" w:hAnsi="Times New Roman" w:cs="Times New Roman"/>
          <w:color w:val="222222"/>
          <w:sz w:val="24"/>
          <w:szCs w:val="24"/>
          <w:shd w:val="clear" w:color="auto" w:fill="FFFFFF"/>
        </w:rPr>
        <w:t xml:space="preserve">к законодательству Европейского Союза и другим публичным документам ЕС - </w:t>
      </w:r>
      <w:hyperlink r:id="rId26" w:history="1">
        <w:r w:rsidR="00813F87" w:rsidRPr="00CE3E01">
          <w:rPr>
            <w:rStyle w:val="af7"/>
            <w:rFonts w:ascii="Times New Roman" w:hAnsi="Times New Roman" w:cs="Times New Roman"/>
            <w:sz w:val="24"/>
            <w:szCs w:val="24"/>
            <w:lang w:val="en-US"/>
          </w:rPr>
          <w:t>http</w:t>
        </w:r>
        <w:r w:rsidR="00813F87" w:rsidRPr="00CE3E01">
          <w:rPr>
            <w:rStyle w:val="af7"/>
            <w:rFonts w:ascii="Times New Roman" w:hAnsi="Times New Roman" w:cs="Times New Roman"/>
            <w:sz w:val="24"/>
            <w:szCs w:val="24"/>
          </w:rPr>
          <w:t>://</w:t>
        </w:r>
        <w:proofErr w:type="spellStart"/>
        <w:r w:rsidR="00813F87" w:rsidRPr="00CE3E01">
          <w:rPr>
            <w:rStyle w:val="af7"/>
            <w:rFonts w:ascii="Times New Roman" w:hAnsi="Times New Roman" w:cs="Times New Roman"/>
            <w:sz w:val="24"/>
            <w:szCs w:val="24"/>
            <w:lang w:val="en-US"/>
          </w:rPr>
          <w:t>eur</w:t>
        </w:r>
        <w:proofErr w:type="spellEnd"/>
        <w:r w:rsidR="00813F87" w:rsidRPr="00CE3E01">
          <w:rPr>
            <w:rStyle w:val="af7"/>
            <w:rFonts w:ascii="Times New Roman" w:hAnsi="Times New Roman" w:cs="Times New Roman"/>
            <w:sz w:val="24"/>
            <w:szCs w:val="24"/>
          </w:rPr>
          <w:t>-</w:t>
        </w:r>
        <w:proofErr w:type="spellStart"/>
        <w:r w:rsidR="00813F87" w:rsidRPr="00CE3E01">
          <w:rPr>
            <w:rStyle w:val="af7"/>
            <w:rFonts w:ascii="Times New Roman" w:hAnsi="Times New Roman" w:cs="Times New Roman"/>
            <w:sz w:val="24"/>
            <w:szCs w:val="24"/>
            <w:lang w:val="en-US"/>
          </w:rPr>
          <w:t>lex</w:t>
        </w:r>
        <w:proofErr w:type="spellEnd"/>
        <w:r w:rsidR="00813F87" w:rsidRPr="00CE3E01">
          <w:rPr>
            <w:rStyle w:val="af7"/>
            <w:rFonts w:ascii="Times New Roman" w:hAnsi="Times New Roman" w:cs="Times New Roman"/>
            <w:sz w:val="24"/>
            <w:szCs w:val="24"/>
          </w:rPr>
          <w:t>.</w:t>
        </w:r>
        <w:proofErr w:type="spellStart"/>
        <w:r w:rsidR="00813F87" w:rsidRPr="00CE3E01">
          <w:rPr>
            <w:rStyle w:val="af7"/>
            <w:rFonts w:ascii="Times New Roman" w:hAnsi="Times New Roman" w:cs="Times New Roman"/>
            <w:sz w:val="24"/>
            <w:szCs w:val="24"/>
            <w:lang w:val="en-US"/>
          </w:rPr>
          <w:t>europa</w:t>
        </w:r>
        <w:proofErr w:type="spellEnd"/>
        <w:r w:rsidR="00813F87" w:rsidRPr="00CE3E01">
          <w:rPr>
            <w:rStyle w:val="af7"/>
            <w:rFonts w:ascii="Times New Roman" w:hAnsi="Times New Roman" w:cs="Times New Roman"/>
            <w:sz w:val="24"/>
            <w:szCs w:val="24"/>
          </w:rPr>
          <w:t>.</w:t>
        </w:r>
        <w:proofErr w:type="spellStart"/>
        <w:r w:rsidR="00813F87" w:rsidRPr="00CE3E01">
          <w:rPr>
            <w:rStyle w:val="af7"/>
            <w:rFonts w:ascii="Times New Roman" w:hAnsi="Times New Roman" w:cs="Times New Roman"/>
            <w:sz w:val="24"/>
            <w:szCs w:val="24"/>
            <w:lang w:val="en-US"/>
          </w:rPr>
          <w:t>eu</w:t>
        </w:r>
        <w:proofErr w:type="spellEnd"/>
        <w:r w:rsidR="00813F87" w:rsidRPr="00CE3E01">
          <w:rPr>
            <w:rStyle w:val="af7"/>
            <w:rFonts w:ascii="Times New Roman" w:hAnsi="Times New Roman" w:cs="Times New Roman"/>
            <w:sz w:val="24"/>
            <w:szCs w:val="24"/>
          </w:rPr>
          <w:t>/</w:t>
        </w:r>
        <w:r w:rsidR="00813F87" w:rsidRPr="00CE3E01">
          <w:rPr>
            <w:rStyle w:val="af7"/>
            <w:rFonts w:ascii="Times New Roman" w:hAnsi="Times New Roman" w:cs="Times New Roman"/>
            <w:sz w:val="24"/>
            <w:szCs w:val="24"/>
            <w:lang w:val="en-US"/>
          </w:rPr>
          <w:t>homepage</w:t>
        </w:r>
        <w:r w:rsidR="00813F87" w:rsidRPr="00CE3E01">
          <w:rPr>
            <w:rStyle w:val="af7"/>
            <w:rFonts w:ascii="Times New Roman" w:hAnsi="Times New Roman" w:cs="Times New Roman"/>
            <w:sz w:val="24"/>
            <w:szCs w:val="24"/>
          </w:rPr>
          <w:t>.</w:t>
        </w:r>
        <w:r w:rsidR="00813F87" w:rsidRPr="00CE3E01">
          <w:rPr>
            <w:rStyle w:val="af7"/>
            <w:rFonts w:ascii="Times New Roman" w:hAnsi="Times New Roman" w:cs="Times New Roman"/>
            <w:sz w:val="24"/>
            <w:szCs w:val="24"/>
            <w:lang w:val="en-US"/>
          </w:rPr>
          <w:t>html</w:t>
        </w:r>
      </w:hyperlink>
      <w:r w:rsidR="00CE3E01">
        <w:rPr>
          <w:rFonts w:ascii="Times New Roman" w:hAnsi="Times New Roman" w:cs="Times New Roman"/>
          <w:sz w:val="24"/>
          <w:szCs w:val="24"/>
        </w:rPr>
        <w:t>;</w:t>
      </w:r>
    </w:p>
    <w:p w14:paraId="7F364C2E" w14:textId="59C02F41" w:rsidR="008F36C0" w:rsidRPr="00CE3E01" w:rsidRDefault="00B85284" w:rsidP="00CE3E01">
      <w:pPr>
        <w:pStyle w:val="a9"/>
        <w:numPr>
          <w:ilvl w:val="0"/>
          <w:numId w:val="15"/>
        </w:numPr>
        <w:spacing w:after="0" w:line="240" w:lineRule="auto"/>
        <w:ind w:left="1134" w:right="1270" w:hanging="425"/>
        <w:rPr>
          <w:rFonts w:ascii="Times New Roman" w:hAnsi="Times New Roman" w:cs="Times New Roman"/>
          <w:sz w:val="24"/>
          <w:szCs w:val="24"/>
        </w:rPr>
      </w:pPr>
      <w:r w:rsidRPr="00CE3E01">
        <w:rPr>
          <w:rFonts w:ascii="Times New Roman" w:hAnsi="Times New Roman" w:cs="Times New Roman"/>
          <w:sz w:val="24"/>
          <w:szCs w:val="24"/>
        </w:rPr>
        <w:t>П</w:t>
      </w:r>
      <w:r w:rsidR="008F36C0" w:rsidRPr="00CE3E01">
        <w:rPr>
          <w:rFonts w:ascii="Times New Roman" w:hAnsi="Times New Roman" w:cs="Times New Roman"/>
          <w:sz w:val="24"/>
          <w:szCs w:val="24"/>
        </w:rPr>
        <w:t>рофессиональной Ассоциации Регистраторов, Трансфер-Агентов и Депозитариев (ПАРТАД)</w:t>
      </w:r>
      <w:r w:rsidR="005A14BD" w:rsidRPr="00CE3E01">
        <w:rPr>
          <w:rFonts w:ascii="Times New Roman" w:hAnsi="Times New Roman" w:cs="Times New Roman"/>
          <w:sz w:val="24"/>
          <w:szCs w:val="24"/>
        </w:rPr>
        <w:t xml:space="preserve"> - </w:t>
      </w:r>
      <w:hyperlink r:id="rId27" w:history="1">
        <w:r w:rsidR="005A14BD" w:rsidRPr="00CE3E01">
          <w:rPr>
            <w:rStyle w:val="af7"/>
            <w:rFonts w:ascii="Times New Roman" w:hAnsi="Times New Roman" w:cs="Times New Roman"/>
            <w:sz w:val="24"/>
            <w:szCs w:val="24"/>
          </w:rPr>
          <w:t>http://partad.ru</w:t>
        </w:r>
      </w:hyperlink>
      <w:r w:rsidR="00CE3E01">
        <w:rPr>
          <w:rFonts w:ascii="Times New Roman" w:hAnsi="Times New Roman" w:cs="Times New Roman"/>
          <w:sz w:val="24"/>
          <w:szCs w:val="24"/>
        </w:rPr>
        <w:t>;</w:t>
      </w:r>
    </w:p>
    <w:p w14:paraId="6F97DBF9" w14:textId="0CA60FFE" w:rsidR="008657C0" w:rsidRPr="00CE3E01" w:rsidRDefault="008F36C0" w:rsidP="00CE3E01">
      <w:pPr>
        <w:pStyle w:val="a9"/>
        <w:numPr>
          <w:ilvl w:val="0"/>
          <w:numId w:val="15"/>
        </w:numPr>
        <w:autoSpaceDE w:val="0"/>
        <w:autoSpaceDN w:val="0"/>
        <w:adjustRightInd w:val="0"/>
        <w:spacing w:after="0" w:line="240" w:lineRule="auto"/>
        <w:ind w:left="1134" w:hanging="425"/>
        <w:rPr>
          <w:rFonts w:ascii="Times New Roman" w:hAnsi="Times New Roman" w:cs="Times New Roman"/>
          <w:sz w:val="24"/>
          <w:szCs w:val="24"/>
        </w:rPr>
      </w:pPr>
      <w:r w:rsidRPr="00CE3E01">
        <w:rPr>
          <w:rFonts w:ascii="Times New Roman" w:hAnsi="Times New Roman" w:cs="Times New Roman"/>
          <w:sz w:val="24"/>
          <w:szCs w:val="24"/>
        </w:rPr>
        <w:t>Саморегулируемой организации «Национальная финансовая ассоциация» (СРО НФА)</w:t>
      </w:r>
      <w:r w:rsidR="005A14BD" w:rsidRPr="00CE3E01">
        <w:rPr>
          <w:rFonts w:ascii="Times New Roman" w:hAnsi="Times New Roman" w:cs="Times New Roman"/>
          <w:sz w:val="24"/>
          <w:szCs w:val="24"/>
        </w:rPr>
        <w:t xml:space="preserve"> - </w:t>
      </w:r>
      <w:hyperlink r:id="rId28" w:history="1">
        <w:r w:rsidR="005A14BD" w:rsidRPr="00CE3E01">
          <w:rPr>
            <w:rStyle w:val="af7"/>
            <w:rFonts w:ascii="Times New Roman" w:hAnsi="Times New Roman" w:cs="Times New Roman"/>
            <w:sz w:val="24"/>
            <w:szCs w:val="24"/>
          </w:rPr>
          <w:t>http://nfa.ru</w:t>
        </w:r>
      </w:hyperlink>
      <w:r w:rsidR="00CE3E01">
        <w:rPr>
          <w:rFonts w:ascii="Times New Roman" w:hAnsi="Times New Roman" w:cs="Times New Roman"/>
          <w:sz w:val="24"/>
          <w:szCs w:val="24"/>
        </w:rPr>
        <w:t>;</w:t>
      </w:r>
    </w:p>
    <w:p w14:paraId="1A32F495" w14:textId="3067E2CF" w:rsidR="00AE489B" w:rsidRDefault="00AE489B" w:rsidP="00CE3E01">
      <w:pPr>
        <w:pStyle w:val="a9"/>
        <w:numPr>
          <w:ilvl w:val="0"/>
          <w:numId w:val="15"/>
        </w:numPr>
        <w:autoSpaceDE w:val="0"/>
        <w:autoSpaceDN w:val="0"/>
        <w:adjustRightInd w:val="0"/>
        <w:spacing w:after="0" w:line="240" w:lineRule="auto"/>
        <w:ind w:left="1134" w:hanging="425"/>
        <w:rPr>
          <w:rFonts w:ascii="Times New Roman" w:hAnsi="Times New Roman" w:cs="Times New Roman"/>
          <w:sz w:val="24"/>
          <w:szCs w:val="24"/>
        </w:rPr>
      </w:pPr>
      <w:r w:rsidRPr="00CE3E01">
        <w:rPr>
          <w:rFonts w:ascii="Times New Roman" w:hAnsi="Times New Roman" w:cs="Times New Roman"/>
          <w:sz w:val="24"/>
          <w:szCs w:val="24"/>
        </w:rPr>
        <w:t>Небанковской кредитной организации акционерного общества «Национальный расчетный депозитарий» (НКО АО НРД)</w:t>
      </w:r>
      <w:r w:rsidR="005A14BD" w:rsidRPr="00CE3E01">
        <w:rPr>
          <w:rFonts w:ascii="Times New Roman" w:hAnsi="Times New Roman" w:cs="Times New Roman"/>
          <w:sz w:val="24"/>
          <w:szCs w:val="24"/>
        </w:rPr>
        <w:t xml:space="preserve"> - </w:t>
      </w:r>
      <w:hyperlink r:id="rId29" w:history="1">
        <w:r w:rsidR="005A14BD" w:rsidRPr="00CE3E01">
          <w:rPr>
            <w:rStyle w:val="af7"/>
            <w:rFonts w:ascii="Times New Roman" w:hAnsi="Times New Roman" w:cs="Times New Roman"/>
            <w:sz w:val="24"/>
            <w:szCs w:val="24"/>
          </w:rPr>
          <w:t>https://www.nsd.ru</w:t>
        </w:r>
      </w:hyperlink>
      <w:r w:rsidR="00AF6FBF">
        <w:rPr>
          <w:rFonts w:ascii="Times New Roman" w:hAnsi="Times New Roman" w:cs="Times New Roman"/>
          <w:sz w:val="24"/>
          <w:szCs w:val="24"/>
        </w:rPr>
        <w:t>.</w:t>
      </w:r>
    </w:p>
    <w:p w14:paraId="6FCD9DB7" w14:textId="77777777" w:rsidR="00645A80" w:rsidRDefault="00645A80" w:rsidP="00645A80">
      <w:pPr>
        <w:autoSpaceDE w:val="0"/>
        <w:autoSpaceDN w:val="0"/>
        <w:adjustRightInd w:val="0"/>
        <w:spacing w:after="0" w:line="240" w:lineRule="auto"/>
        <w:rPr>
          <w:rFonts w:ascii="Times New Roman" w:hAnsi="Times New Roman" w:cs="Times New Roman"/>
          <w:sz w:val="24"/>
          <w:szCs w:val="24"/>
        </w:rPr>
      </w:pPr>
    </w:p>
    <w:p w14:paraId="4D70E1A9" w14:textId="77777777" w:rsidR="004A17B2" w:rsidRDefault="004A17B2" w:rsidP="00645A80">
      <w:pPr>
        <w:autoSpaceDE w:val="0"/>
        <w:autoSpaceDN w:val="0"/>
        <w:adjustRightInd w:val="0"/>
        <w:spacing w:after="0" w:line="240" w:lineRule="auto"/>
        <w:rPr>
          <w:rFonts w:ascii="Times New Roman" w:hAnsi="Times New Roman" w:cs="Times New Roman"/>
          <w:sz w:val="24"/>
          <w:szCs w:val="24"/>
        </w:rPr>
      </w:pPr>
    </w:p>
    <w:p w14:paraId="7E8E0175" w14:textId="77777777" w:rsidR="004A17B2" w:rsidRDefault="004A17B2" w:rsidP="00645A80">
      <w:pPr>
        <w:autoSpaceDE w:val="0"/>
        <w:autoSpaceDN w:val="0"/>
        <w:adjustRightInd w:val="0"/>
        <w:spacing w:after="0" w:line="240" w:lineRule="auto"/>
        <w:rPr>
          <w:rFonts w:ascii="Times New Roman" w:hAnsi="Times New Roman" w:cs="Times New Roman"/>
          <w:sz w:val="24"/>
          <w:szCs w:val="24"/>
        </w:rPr>
      </w:pPr>
    </w:p>
    <w:p w14:paraId="5B64A34A" w14:textId="77777777" w:rsidR="004A17B2" w:rsidRDefault="004A17B2" w:rsidP="00645A80">
      <w:pPr>
        <w:autoSpaceDE w:val="0"/>
        <w:autoSpaceDN w:val="0"/>
        <w:adjustRightInd w:val="0"/>
        <w:spacing w:after="0" w:line="240" w:lineRule="auto"/>
        <w:rPr>
          <w:rFonts w:ascii="Times New Roman" w:hAnsi="Times New Roman" w:cs="Times New Roman"/>
          <w:sz w:val="24"/>
          <w:szCs w:val="24"/>
        </w:rPr>
      </w:pPr>
    </w:p>
    <w:sectPr w:rsidR="004A17B2" w:rsidSect="00BB6921">
      <w:headerReference w:type="default" r:id="rId30"/>
      <w:footerReference w:type="default" r:id="rId31"/>
      <w:footerReference w:type="first" r:id="rId32"/>
      <w:pgSz w:w="11906" w:h="16838"/>
      <w:pgMar w:top="1134" w:right="849" w:bottom="1134" w:left="1701" w:header="708"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6CC4A" w14:textId="77777777" w:rsidR="002744D2" w:rsidRDefault="002744D2" w:rsidP="00583890">
      <w:pPr>
        <w:spacing w:after="0" w:line="240" w:lineRule="auto"/>
      </w:pPr>
      <w:r>
        <w:separator/>
      </w:r>
    </w:p>
  </w:endnote>
  <w:endnote w:type="continuationSeparator" w:id="0">
    <w:p w14:paraId="30ADD97D" w14:textId="77777777" w:rsidR="002744D2" w:rsidRDefault="002744D2" w:rsidP="0058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928827"/>
      <w:docPartObj>
        <w:docPartGallery w:val="Page Numbers (Bottom of Page)"/>
        <w:docPartUnique/>
      </w:docPartObj>
    </w:sdtPr>
    <w:sdtEndPr>
      <w:rPr>
        <w:rFonts w:ascii="Times New Roman" w:hAnsi="Times New Roman" w:cs="Times New Roman"/>
        <w:sz w:val="24"/>
        <w:szCs w:val="24"/>
      </w:rPr>
    </w:sdtEndPr>
    <w:sdtContent>
      <w:p w14:paraId="7C772AD0" w14:textId="3808ECA1" w:rsidR="003E3C20" w:rsidRPr="003E3C20" w:rsidRDefault="003E3C20">
        <w:pPr>
          <w:pStyle w:val="a6"/>
          <w:jc w:val="center"/>
          <w:rPr>
            <w:rFonts w:ascii="Times New Roman" w:hAnsi="Times New Roman" w:cs="Times New Roman"/>
            <w:sz w:val="24"/>
            <w:szCs w:val="24"/>
          </w:rPr>
        </w:pPr>
        <w:r w:rsidRPr="003E3C20">
          <w:rPr>
            <w:rFonts w:ascii="Times New Roman" w:hAnsi="Times New Roman" w:cs="Times New Roman"/>
            <w:sz w:val="24"/>
            <w:szCs w:val="24"/>
          </w:rPr>
          <w:fldChar w:fldCharType="begin"/>
        </w:r>
        <w:r w:rsidRPr="003E3C20">
          <w:rPr>
            <w:rFonts w:ascii="Times New Roman" w:hAnsi="Times New Roman" w:cs="Times New Roman"/>
            <w:sz w:val="24"/>
            <w:szCs w:val="24"/>
          </w:rPr>
          <w:instrText>PAGE   \* MERGEFORMAT</w:instrText>
        </w:r>
        <w:r w:rsidRPr="003E3C20">
          <w:rPr>
            <w:rFonts w:ascii="Times New Roman" w:hAnsi="Times New Roman" w:cs="Times New Roman"/>
            <w:sz w:val="24"/>
            <w:szCs w:val="24"/>
          </w:rPr>
          <w:fldChar w:fldCharType="separate"/>
        </w:r>
        <w:r w:rsidR="006676CE">
          <w:rPr>
            <w:rFonts w:ascii="Times New Roman" w:hAnsi="Times New Roman" w:cs="Times New Roman"/>
            <w:noProof/>
            <w:sz w:val="24"/>
            <w:szCs w:val="24"/>
          </w:rPr>
          <w:t>2</w:t>
        </w:r>
        <w:r w:rsidRPr="003E3C20">
          <w:rPr>
            <w:rFonts w:ascii="Times New Roman" w:hAnsi="Times New Roman" w:cs="Times New Roman"/>
            <w:sz w:val="24"/>
            <w:szCs w:val="24"/>
          </w:rPr>
          <w:fldChar w:fldCharType="end"/>
        </w:r>
      </w:p>
    </w:sdtContent>
  </w:sdt>
  <w:p w14:paraId="6C923343" w14:textId="53AAA7A6" w:rsidR="00F91E42" w:rsidRDefault="00F91E42" w:rsidP="00F91E4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FC86" w14:textId="1E7FA04B" w:rsidR="004C62B6" w:rsidRDefault="004C62B6">
    <w:pPr>
      <w:pStyle w:val="a6"/>
      <w:jc w:val="center"/>
    </w:pPr>
  </w:p>
  <w:p w14:paraId="02239DF9" w14:textId="77777777" w:rsidR="004C62B6" w:rsidRDefault="004C62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F0821" w14:textId="77777777" w:rsidR="002744D2" w:rsidRDefault="002744D2" w:rsidP="00583890">
      <w:pPr>
        <w:spacing w:after="0" w:line="240" w:lineRule="auto"/>
      </w:pPr>
      <w:r>
        <w:separator/>
      </w:r>
    </w:p>
  </w:footnote>
  <w:footnote w:type="continuationSeparator" w:id="0">
    <w:p w14:paraId="76BB6AEF" w14:textId="77777777" w:rsidR="002744D2" w:rsidRDefault="002744D2" w:rsidP="00583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378029"/>
      <w:docPartObj>
        <w:docPartGallery w:val="Page Numbers (Top of Page)"/>
        <w:docPartUnique/>
      </w:docPartObj>
    </w:sdtPr>
    <w:sdtEndPr/>
    <w:sdtContent>
      <w:p w14:paraId="610A2BD3" w14:textId="321C5BF3" w:rsidR="00430F3E" w:rsidRDefault="002744D2">
        <w:pPr>
          <w:pStyle w:val="a4"/>
          <w:jc w:val="center"/>
        </w:pPr>
      </w:p>
    </w:sdtContent>
  </w:sdt>
  <w:p w14:paraId="685EC455" w14:textId="77777777" w:rsidR="00430F3E" w:rsidRDefault="00430F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6F406C8"/>
    <w:name w:val="WW8Num2"/>
    <w:lvl w:ilvl="0">
      <w:start w:val="1"/>
      <w:numFmt w:val="decimal"/>
      <w:lvlText w:val="%1."/>
      <w:lvlJc w:val="left"/>
      <w:pPr>
        <w:tabs>
          <w:tab w:val="num" w:pos="0"/>
        </w:tabs>
        <w:ind w:left="720" w:hanging="360"/>
      </w:pPr>
      <w:rPr>
        <w:rFonts w:ascii="Times New Roman" w:hAnsi="Times New Roman" w:cs="Calibri"/>
        <w:b/>
        <w:sz w:val="24"/>
        <w:szCs w:val="24"/>
      </w:rPr>
    </w:lvl>
  </w:abstractNum>
  <w:abstractNum w:abstractNumId="1" w15:restartNumberingAfterBreak="0">
    <w:nsid w:val="0904004F"/>
    <w:multiLevelType w:val="hybridMultilevel"/>
    <w:tmpl w:val="0750DACE"/>
    <w:lvl w:ilvl="0" w:tplc="001440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87BE6"/>
    <w:multiLevelType w:val="hybridMultilevel"/>
    <w:tmpl w:val="CE180C2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15:restartNumberingAfterBreak="0">
    <w:nsid w:val="0CD75473"/>
    <w:multiLevelType w:val="multilevel"/>
    <w:tmpl w:val="EC2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F1151"/>
    <w:multiLevelType w:val="hybridMultilevel"/>
    <w:tmpl w:val="4F82C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5056A"/>
    <w:multiLevelType w:val="hybridMultilevel"/>
    <w:tmpl w:val="ACBE6ADE"/>
    <w:lvl w:ilvl="0" w:tplc="501EEB04">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3274C89"/>
    <w:multiLevelType w:val="hybridMultilevel"/>
    <w:tmpl w:val="C60C4602"/>
    <w:lvl w:ilvl="0" w:tplc="5526FF1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D12AA"/>
    <w:multiLevelType w:val="hybridMultilevel"/>
    <w:tmpl w:val="4E56D00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15:restartNumberingAfterBreak="0">
    <w:nsid w:val="335D472F"/>
    <w:multiLevelType w:val="hybridMultilevel"/>
    <w:tmpl w:val="182CC296"/>
    <w:lvl w:ilvl="0" w:tplc="2DEABF06">
      <w:start w:val="1"/>
      <w:numFmt w:val="decimal"/>
      <w:lvlText w:val="%1."/>
      <w:lvlJc w:val="left"/>
      <w:pPr>
        <w:ind w:left="928" w:hanging="360"/>
      </w:pPr>
      <w:rPr>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A3128BB"/>
    <w:multiLevelType w:val="hybridMultilevel"/>
    <w:tmpl w:val="86B68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083DF4"/>
    <w:multiLevelType w:val="hybridMultilevel"/>
    <w:tmpl w:val="FACAA6EE"/>
    <w:lvl w:ilvl="0" w:tplc="70A8717E">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473E66C8"/>
    <w:multiLevelType w:val="hybridMultilevel"/>
    <w:tmpl w:val="86B68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D14ED"/>
    <w:multiLevelType w:val="hybridMultilevel"/>
    <w:tmpl w:val="86B68C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684261"/>
    <w:multiLevelType w:val="hybridMultilevel"/>
    <w:tmpl w:val="C0B20C5A"/>
    <w:lvl w:ilvl="0" w:tplc="2DEABF06">
      <w:start w:val="1"/>
      <w:numFmt w:val="decimal"/>
      <w:lvlText w:val="%1."/>
      <w:lvlJc w:val="left"/>
      <w:pPr>
        <w:ind w:left="928" w:hanging="360"/>
      </w:pPr>
      <w:rPr>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5C5A36CE"/>
    <w:multiLevelType w:val="hybridMultilevel"/>
    <w:tmpl w:val="8556B0EA"/>
    <w:lvl w:ilvl="0" w:tplc="2DEABF06">
      <w:start w:val="1"/>
      <w:numFmt w:val="decimal"/>
      <w:lvlText w:val="%1."/>
      <w:lvlJc w:val="left"/>
      <w:pPr>
        <w:ind w:left="928" w:hanging="360"/>
      </w:pPr>
      <w:rPr>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61356FC1"/>
    <w:multiLevelType w:val="hybridMultilevel"/>
    <w:tmpl w:val="28BAD8EE"/>
    <w:lvl w:ilvl="0" w:tplc="A926C99A">
      <w:start w:val="1"/>
      <w:numFmt w:val="bullet"/>
      <w:lvlText w:val=""/>
      <w:lvlJc w:val="left"/>
      <w:pPr>
        <w:tabs>
          <w:tab w:val="num" w:pos="720"/>
        </w:tabs>
        <w:ind w:left="720" w:hanging="360"/>
      </w:pPr>
      <w:rPr>
        <w:rFonts w:ascii="Wingdings" w:hAnsi="Wingdings" w:hint="default"/>
      </w:rPr>
    </w:lvl>
    <w:lvl w:ilvl="1" w:tplc="B22233B8" w:tentative="1">
      <w:start w:val="1"/>
      <w:numFmt w:val="bullet"/>
      <w:lvlText w:val=""/>
      <w:lvlJc w:val="left"/>
      <w:pPr>
        <w:tabs>
          <w:tab w:val="num" w:pos="1440"/>
        </w:tabs>
        <w:ind w:left="1440" w:hanging="360"/>
      </w:pPr>
      <w:rPr>
        <w:rFonts w:ascii="Wingdings" w:hAnsi="Wingdings" w:hint="default"/>
      </w:rPr>
    </w:lvl>
    <w:lvl w:ilvl="2" w:tplc="A4CA6052" w:tentative="1">
      <w:start w:val="1"/>
      <w:numFmt w:val="bullet"/>
      <w:lvlText w:val=""/>
      <w:lvlJc w:val="left"/>
      <w:pPr>
        <w:tabs>
          <w:tab w:val="num" w:pos="2160"/>
        </w:tabs>
        <w:ind w:left="2160" w:hanging="360"/>
      </w:pPr>
      <w:rPr>
        <w:rFonts w:ascii="Wingdings" w:hAnsi="Wingdings" w:hint="default"/>
      </w:rPr>
    </w:lvl>
    <w:lvl w:ilvl="3" w:tplc="A1E2CB1A" w:tentative="1">
      <w:start w:val="1"/>
      <w:numFmt w:val="bullet"/>
      <w:lvlText w:val=""/>
      <w:lvlJc w:val="left"/>
      <w:pPr>
        <w:tabs>
          <w:tab w:val="num" w:pos="2880"/>
        </w:tabs>
        <w:ind w:left="2880" w:hanging="360"/>
      </w:pPr>
      <w:rPr>
        <w:rFonts w:ascii="Wingdings" w:hAnsi="Wingdings" w:hint="default"/>
      </w:rPr>
    </w:lvl>
    <w:lvl w:ilvl="4" w:tplc="23A60FEC" w:tentative="1">
      <w:start w:val="1"/>
      <w:numFmt w:val="bullet"/>
      <w:lvlText w:val=""/>
      <w:lvlJc w:val="left"/>
      <w:pPr>
        <w:tabs>
          <w:tab w:val="num" w:pos="3600"/>
        </w:tabs>
        <w:ind w:left="3600" w:hanging="360"/>
      </w:pPr>
      <w:rPr>
        <w:rFonts w:ascii="Wingdings" w:hAnsi="Wingdings" w:hint="default"/>
      </w:rPr>
    </w:lvl>
    <w:lvl w:ilvl="5" w:tplc="484C0FAA" w:tentative="1">
      <w:start w:val="1"/>
      <w:numFmt w:val="bullet"/>
      <w:lvlText w:val=""/>
      <w:lvlJc w:val="left"/>
      <w:pPr>
        <w:tabs>
          <w:tab w:val="num" w:pos="4320"/>
        </w:tabs>
        <w:ind w:left="4320" w:hanging="360"/>
      </w:pPr>
      <w:rPr>
        <w:rFonts w:ascii="Wingdings" w:hAnsi="Wingdings" w:hint="default"/>
      </w:rPr>
    </w:lvl>
    <w:lvl w:ilvl="6" w:tplc="3F341D10" w:tentative="1">
      <w:start w:val="1"/>
      <w:numFmt w:val="bullet"/>
      <w:lvlText w:val=""/>
      <w:lvlJc w:val="left"/>
      <w:pPr>
        <w:tabs>
          <w:tab w:val="num" w:pos="5040"/>
        </w:tabs>
        <w:ind w:left="5040" w:hanging="360"/>
      </w:pPr>
      <w:rPr>
        <w:rFonts w:ascii="Wingdings" w:hAnsi="Wingdings" w:hint="default"/>
      </w:rPr>
    </w:lvl>
    <w:lvl w:ilvl="7" w:tplc="61BE5396" w:tentative="1">
      <w:start w:val="1"/>
      <w:numFmt w:val="bullet"/>
      <w:lvlText w:val=""/>
      <w:lvlJc w:val="left"/>
      <w:pPr>
        <w:tabs>
          <w:tab w:val="num" w:pos="5760"/>
        </w:tabs>
        <w:ind w:left="5760" w:hanging="360"/>
      </w:pPr>
      <w:rPr>
        <w:rFonts w:ascii="Wingdings" w:hAnsi="Wingdings" w:hint="default"/>
      </w:rPr>
    </w:lvl>
    <w:lvl w:ilvl="8" w:tplc="15CEBE2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01269"/>
    <w:multiLevelType w:val="hybridMultilevel"/>
    <w:tmpl w:val="FF24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EC6A07"/>
    <w:multiLevelType w:val="hybridMultilevel"/>
    <w:tmpl w:val="60786DE8"/>
    <w:lvl w:ilvl="0" w:tplc="2DEABF06">
      <w:start w:val="1"/>
      <w:numFmt w:val="decimal"/>
      <w:lvlText w:val="%1."/>
      <w:lvlJc w:val="left"/>
      <w:pPr>
        <w:ind w:left="114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9"/>
  </w:num>
  <w:num w:numId="5">
    <w:abstractNumId w:val="11"/>
  </w:num>
  <w:num w:numId="6">
    <w:abstractNumId w:val="14"/>
  </w:num>
  <w:num w:numId="7">
    <w:abstractNumId w:val="13"/>
  </w:num>
  <w:num w:numId="8">
    <w:abstractNumId w:val="8"/>
  </w:num>
  <w:num w:numId="9">
    <w:abstractNumId w:val="17"/>
  </w:num>
  <w:num w:numId="10">
    <w:abstractNumId w:val="10"/>
  </w:num>
  <w:num w:numId="11">
    <w:abstractNumId w:val="2"/>
  </w:num>
  <w:num w:numId="12">
    <w:abstractNumId w:val="6"/>
  </w:num>
  <w:num w:numId="13">
    <w:abstractNumId w:val="3"/>
  </w:num>
  <w:num w:numId="14">
    <w:abstractNumId w:val="7"/>
  </w:num>
  <w:num w:numId="15">
    <w:abstractNumId w:val="1"/>
  </w:num>
  <w:num w:numId="16">
    <w:abstractNumId w:val="1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90"/>
    <w:rsid w:val="00006A8E"/>
    <w:rsid w:val="00013A59"/>
    <w:rsid w:val="000205E9"/>
    <w:rsid w:val="00025516"/>
    <w:rsid w:val="000345B7"/>
    <w:rsid w:val="00043E79"/>
    <w:rsid w:val="00051149"/>
    <w:rsid w:val="000664F6"/>
    <w:rsid w:val="000728D8"/>
    <w:rsid w:val="00094731"/>
    <w:rsid w:val="000B1AAA"/>
    <w:rsid w:val="000B3A13"/>
    <w:rsid w:val="000C3312"/>
    <w:rsid w:val="000C4394"/>
    <w:rsid w:val="000D19F8"/>
    <w:rsid w:val="000D63A7"/>
    <w:rsid w:val="000E0F48"/>
    <w:rsid w:val="000F0A2A"/>
    <w:rsid w:val="000F695C"/>
    <w:rsid w:val="00104AF0"/>
    <w:rsid w:val="00111009"/>
    <w:rsid w:val="0012062D"/>
    <w:rsid w:val="0012227F"/>
    <w:rsid w:val="00132001"/>
    <w:rsid w:val="001331BC"/>
    <w:rsid w:val="00141614"/>
    <w:rsid w:val="0017422A"/>
    <w:rsid w:val="001808BA"/>
    <w:rsid w:val="0019400B"/>
    <w:rsid w:val="001D3F3D"/>
    <w:rsid w:val="001E44FB"/>
    <w:rsid w:val="00224A25"/>
    <w:rsid w:val="00235B70"/>
    <w:rsid w:val="002744D2"/>
    <w:rsid w:val="0027522E"/>
    <w:rsid w:val="00291C2D"/>
    <w:rsid w:val="00292D2D"/>
    <w:rsid w:val="002B0898"/>
    <w:rsid w:val="002B6B91"/>
    <w:rsid w:val="002C0734"/>
    <w:rsid w:val="002C2DAF"/>
    <w:rsid w:val="002C37A8"/>
    <w:rsid w:val="002C3DC6"/>
    <w:rsid w:val="002D433D"/>
    <w:rsid w:val="002F151D"/>
    <w:rsid w:val="00301926"/>
    <w:rsid w:val="00316FE9"/>
    <w:rsid w:val="00320156"/>
    <w:rsid w:val="003452B8"/>
    <w:rsid w:val="003761CB"/>
    <w:rsid w:val="003949B7"/>
    <w:rsid w:val="00394B23"/>
    <w:rsid w:val="003B265A"/>
    <w:rsid w:val="003D0851"/>
    <w:rsid w:val="003D0B9D"/>
    <w:rsid w:val="003E3C20"/>
    <w:rsid w:val="00403DE9"/>
    <w:rsid w:val="004111AC"/>
    <w:rsid w:val="00412163"/>
    <w:rsid w:val="00413A1F"/>
    <w:rsid w:val="00416097"/>
    <w:rsid w:val="00423A4D"/>
    <w:rsid w:val="00430E46"/>
    <w:rsid w:val="00430F3E"/>
    <w:rsid w:val="004408B5"/>
    <w:rsid w:val="00466E05"/>
    <w:rsid w:val="0047540B"/>
    <w:rsid w:val="004824C2"/>
    <w:rsid w:val="004A17B2"/>
    <w:rsid w:val="004B06A9"/>
    <w:rsid w:val="004C0645"/>
    <w:rsid w:val="004C62B6"/>
    <w:rsid w:val="004D7273"/>
    <w:rsid w:val="004E1649"/>
    <w:rsid w:val="004F52B8"/>
    <w:rsid w:val="00510416"/>
    <w:rsid w:val="0052077B"/>
    <w:rsid w:val="00523593"/>
    <w:rsid w:val="00525DBE"/>
    <w:rsid w:val="00554230"/>
    <w:rsid w:val="00556735"/>
    <w:rsid w:val="00583890"/>
    <w:rsid w:val="005857E5"/>
    <w:rsid w:val="005A14BD"/>
    <w:rsid w:val="005A1899"/>
    <w:rsid w:val="005A335C"/>
    <w:rsid w:val="005B2529"/>
    <w:rsid w:val="005B66BF"/>
    <w:rsid w:val="005C4815"/>
    <w:rsid w:val="005D5F7B"/>
    <w:rsid w:val="005E2323"/>
    <w:rsid w:val="0060210E"/>
    <w:rsid w:val="00614B75"/>
    <w:rsid w:val="00621BBC"/>
    <w:rsid w:val="006347CA"/>
    <w:rsid w:val="00643A7C"/>
    <w:rsid w:val="00645A80"/>
    <w:rsid w:val="006471BB"/>
    <w:rsid w:val="006632E3"/>
    <w:rsid w:val="006676CE"/>
    <w:rsid w:val="006822C9"/>
    <w:rsid w:val="00690FEC"/>
    <w:rsid w:val="006960FB"/>
    <w:rsid w:val="00697D92"/>
    <w:rsid w:val="006B18DA"/>
    <w:rsid w:val="006F65A1"/>
    <w:rsid w:val="00703176"/>
    <w:rsid w:val="007055DC"/>
    <w:rsid w:val="00736566"/>
    <w:rsid w:val="00745241"/>
    <w:rsid w:val="0075550F"/>
    <w:rsid w:val="00760C87"/>
    <w:rsid w:val="007652AB"/>
    <w:rsid w:val="00767E9A"/>
    <w:rsid w:val="00773A8F"/>
    <w:rsid w:val="007761C4"/>
    <w:rsid w:val="00790FF8"/>
    <w:rsid w:val="007A2E60"/>
    <w:rsid w:val="00811238"/>
    <w:rsid w:val="00813F87"/>
    <w:rsid w:val="00834016"/>
    <w:rsid w:val="00842446"/>
    <w:rsid w:val="0085001B"/>
    <w:rsid w:val="008657C0"/>
    <w:rsid w:val="00874D60"/>
    <w:rsid w:val="0087744F"/>
    <w:rsid w:val="008849EC"/>
    <w:rsid w:val="00891992"/>
    <w:rsid w:val="008A1E73"/>
    <w:rsid w:val="008A4129"/>
    <w:rsid w:val="008B4371"/>
    <w:rsid w:val="008C3986"/>
    <w:rsid w:val="008F36C0"/>
    <w:rsid w:val="009328BA"/>
    <w:rsid w:val="00937277"/>
    <w:rsid w:val="00940478"/>
    <w:rsid w:val="00951FE6"/>
    <w:rsid w:val="0095722C"/>
    <w:rsid w:val="0097032A"/>
    <w:rsid w:val="0097674A"/>
    <w:rsid w:val="009844DF"/>
    <w:rsid w:val="00986BFD"/>
    <w:rsid w:val="009B19FB"/>
    <w:rsid w:val="009C3875"/>
    <w:rsid w:val="009D2B4C"/>
    <w:rsid w:val="009D35F0"/>
    <w:rsid w:val="009E7E0E"/>
    <w:rsid w:val="009F7C2C"/>
    <w:rsid w:val="00A21C32"/>
    <w:rsid w:val="00A54B66"/>
    <w:rsid w:val="00AA3DDC"/>
    <w:rsid w:val="00AA66F9"/>
    <w:rsid w:val="00AB553D"/>
    <w:rsid w:val="00AC50AF"/>
    <w:rsid w:val="00AE2626"/>
    <w:rsid w:val="00AE437D"/>
    <w:rsid w:val="00AE489B"/>
    <w:rsid w:val="00AF6FBF"/>
    <w:rsid w:val="00B03183"/>
    <w:rsid w:val="00B2571A"/>
    <w:rsid w:val="00B34B1C"/>
    <w:rsid w:val="00B464C0"/>
    <w:rsid w:val="00B47051"/>
    <w:rsid w:val="00B579AF"/>
    <w:rsid w:val="00B85284"/>
    <w:rsid w:val="00B97D2C"/>
    <w:rsid w:val="00BA5167"/>
    <w:rsid w:val="00BB1638"/>
    <w:rsid w:val="00BB42DF"/>
    <w:rsid w:val="00BB6921"/>
    <w:rsid w:val="00BC63F5"/>
    <w:rsid w:val="00BE038B"/>
    <w:rsid w:val="00BE6AEA"/>
    <w:rsid w:val="00BF434B"/>
    <w:rsid w:val="00C06B40"/>
    <w:rsid w:val="00C11832"/>
    <w:rsid w:val="00C369F5"/>
    <w:rsid w:val="00C416BD"/>
    <w:rsid w:val="00C444DA"/>
    <w:rsid w:val="00C44FF2"/>
    <w:rsid w:val="00C604F7"/>
    <w:rsid w:val="00C61A69"/>
    <w:rsid w:val="00C62DE2"/>
    <w:rsid w:val="00C803DA"/>
    <w:rsid w:val="00C82875"/>
    <w:rsid w:val="00CA492D"/>
    <w:rsid w:val="00CA4AC2"/>
    <w:rsid w:val="00CE3E01"/>
    <w:rsid w:val="00CE541A"/>
    <w:rsid w:val="00CF093E"/>
    <w:rsid w:val="00CF3F74"/>
    <w:rsid w:val="00D1064B"/>
    <w:rsid w:val="00D10A52"/>
    <w:rsid w:val="00D12F82"/>
    <w:rsid w:val="00D25DB9"/>
    <w:rsid w:val="00D30FBD"/>
    <w:rsid w:val="00D37DCB"/>
    <w:rsid w:val="00D43F28"/>
    <w:rsid w:val="00D6102A"/>
    <w:rsid w:val="00D72F68"/>
    <w:rsid w:val="00D86C4F"/>
    <w:rsid w:val="00D940FD"/>
    <w:rsid w:val="00DA1985"/>
    <w:rsid w:val="00DA3FD8"/>
    <w:rsid w:val="00DA68AE"/>
    <w:rsid w:val="00DC6745"/>
    <w:rsid w:val="00DC7DBB"/>
    <w:rsid w:val="00E037EF"/>
    <w:rsid w:val="00E1667D"/>
    <w:rsid w:val="00E31865"/>
    <w:rsid w:val="00E47B2E"/>
    <w:rsid w:val="00E770C0"/>
    <w:rsid w:val="00E94025"/>
    <w:rsid w:val="00E950AC"/>
    <w:rsid w:val="00EA391F"/>
    <w:rsid w:val="00EB2177"/>
    <w:rsid w:val="00EB5D54"/>
    <w:rsid w:val="00EC3BEE"/>
    <w:rsid w:val="00ED3535"/>
    <w:rsid w:val="00EE3A1E"/>
    <w:rsid w:val="00EF20C3"/>
    <w:rsid w:val="00F00439"/>
    <w:rsid w:val="00F17F05"/>
    <w:rsid w:val="00F211AD"/>
    <w:rsid w:val="00F25E59"/>
    <w:rsid w:val="00F4074D"/>
    <w:rsid w:val="00F46E34"/>
    <w:rsid w:val="00F67C47"/>
    <w:rsid w:val="00F77266"/>
    <w:rsid w:val="00F81BD8"/>
    <w:rsid w:val="00F87358"/>
    <w:rsid w:val="00F91E42"/>
    <w:rsid w:val="00FA6979"/>
    <w:rsid w:val="00FA7DBA"/>
    <w:rsid w:val="00FE029C"/>
    <w:rsid w:val="00FF4D12"/>
    <w:rsid w:val="00FF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F4131"/>
  <w15:docId w15:val="{6F39125B-CA60-4905-8170-BD9256A9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38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3890"/>
  </w:style>
  <w:style w:type="paragraph" w:styleId="a6">
    <w:name w:val="footer"/>
    <w:basedOn w:val="a"/>
    <w:link w:val="a7"/>
    <w:uiPriority w:val="99"/>
    <w:unhideWhenUsed/>
    <w:rsid w:val="005838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3890"/>
  </w:style>
  <w:style w:type="paragraph" w:customStyle="1" w:styleId="ConsPlusNormal">
    <w:name w:val="ConsPlusNormal"/>
    <w:rsid w:val="004408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нак Знак Знак Знак Знак Знак Знак Знак Знак Знак Знак"/>
    <w:basedOn w:val="a"/>
    <w:uiPriority w:val="99"/>
    <w:rsid w:val="00B464C0"/>
    <w:pPr>
      <w:spacing w:after="160" w:line="240" w:lineRule="exact"/>
    </w:pPr>
    <w:rPr>
      <w:rFonts w:ascii="Verdana" w:eastAsia="Times New Roman" w:hAnsi="Verdana" w:cs="Verdana"/>
      <w:sz w:val="20"/>
      <w:szCs w:val="20"/>
      <w:lang w:val="en-US"/>
    </w:rPr>
  </w:style>
  <w:style w:type="paragraph" w:styleId="a9">
    <w:name w:val="List Paragraph"/>
    <w:aliases w:val="Абзац списка для документа"/>
    <w:basedOn w:val="a"/>
    <w:link w:val="aa"/>
    <w:uiPriority w:val="34"/>
    <w:qFormat/>
    <w:rsid w:val="00554230"/>
    <w:pPr>
      <w:ind w:left="720"/>
      <w:contextualSpacing/>
    </w:pPr>
  </w:style>
  <w:style w:type="paragraph" w:styleId="ab">
    <w:name w:val="Balloon Text"/>
    <w:basedOn w:val="a"/>
    <w:link w:val="ac"/>
    <w:uiPriority w:val="99"/>
    <w:semiHidden/>
    <w:unhideWhenUsed/>
    <w:rsid w:val="000B1A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1AAA"/>
    <w:rPr>
      <w:rFonts w:ascii="Tahoma" w:hAnsi="Tahoma" w:cs="Tahoma"/>
      <w:sz w:val="16"/>
      <w:szCs w:val="16"/>
    </w:rPr>
  </w:style>
  <w:style w:type="character" w:styleId="ad">
    <w:name w:val="annotation reference"/>
    <w:basedOn w:val="a0"/>
    <w:uiPriority w:val="99"/>
    <w:semiHidden/>
    <w:unhideWhenUsed/>
    <w:rsid w:val="00F77266"/>
    <w:rPr>
      <w:sz w:val="16"/>
      <w:szCs w:val="16"/>
    </w:rPr>
  </w:style>
  <w:style w:type="paragraph" w:styleId="ae">
    <w:name w:val="annotation text"/>
    <w:basedOn w:val="a"/>
    <w:link w:val="af"/>
    <w:uiPriority w:val="99"/>
    <w:semiHidden/>
    <w:unhideWhenUsed/>
    <w:rsid w:val="00F77266"/>
    <w:pPr>
      <w:spacing w:line="240" w:lineRule="auto"/>
    </w:pPr>
    <w:rPr>
      <w:sz w:val="20"/>
      <w:szCs w:val="20"/>
    </w:rPr>
  </w:style>
  <w:style w:type="character" w:customStyle="1" w:styleId="af">
    <w:name w:val="Текст примечания Знак"/>
    <w:basedOn w:val="a0"/>
    <w:link w:val="ae"/>
    <w:uiPriority w:val="99"/>
    <w:semiHidden/>
    <w:rsid w:val="00F77266"/>
    <w:rPr>
      <w:sz w:val="20"/>
      <w:szCs w:val="20"/>
    </w:rPr>
  </w:style>
  <w:style w:type="paragraph" w:styleId="af0">
    <w:name w:val="annotation subject"/>
    <w:basedOn w:val="ae"/>
    <w:next w:val="ae"/>
    <w:link w:val="af1"/>
    <w:uiPriority w:val="99"/>
    <w:semiHidden/>
    <w:unhideWhenUsed/>
    <w:rsid w:val="00F77266"/>
    <w:rPr>
      <w:b/>
      <w:bCs/>
    </w:rPr>
  </w:style>
  <w:style w:type="character" w:customStyle="1" w:styleId="af1">
    <w:name w:val="Тема примечания Знак"/>
    <w:basedOn w:val="af"/>
    <w:link w:val="af0"/>
    <w:uiPriority w:val="99"/>
    <w:semiHidden/>
    <w:rsid w:val="00F77266"/>
    <w:rPr>
      <w:b/>
      <w:bCs/>
      <w:sz w:val="20"/>
      <w:szCs w:val="20"/>
    </w:rPr>
  </w:style>
  <w:style w:type="paragraph" w:customStyle="1" w:styleId="ConsPlusTitlePage">
    <w:name w:val="ConsPlusTitlePage"/>
    <w:uiPriority w:val="99"/>
    <w:rsid w:val="004F52B8"/>
    <w:pPr>
      <w:autoSpaceDE w:val="0"/>
      <w:autoSpaceDN w:val="0"/>
      <w:adjustRightInd w:val="0"/>
      <w:spacing w:after="0" w:line="240" w:lineRule="auto"/>
    </w:pPr>
    <w:rPr>
      <w:rFonts w:ascii="Tahoma" w:hAnsi="Tahoma" w:cs="Tahoma"/>
    </w:rPr>
  </w:style>
  <w:style w:type="paragraph" w:customStyle="1" w:styleId="Default">
    <w:name w:val="Default"/>
    <w:uiPriority w:val="99"/>
    <w:rsid w:val="0097674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note text"/>
    <w:basedOn w:val="a"/>
    <w:link w:val="af3"/>
    <w:uiPriority w:val="99"/>
    <w:semiHidden/>
    <w:unhideWhenUsed/>
    <w:rsid w:val="00C444DA"/>
    <w:pPr>
      <w:spacing w:after="0" w:line="240" w:lineRule="auto"/>
    </w:pPr>
    <w:rPr>
      <w:sz w:val="20"/>
      <w:szCs w:val="20"/>
    </w:rPr>
  </w:style>
  <w:style w:type="character" w:customStyle="1" w:styleId="af3">
    <w:name w:val="Текст сноски Знак"/>
    <w:basedOn w:val="a0"/>
    <w:link w:val="af2"/>
    <w:uiPriority w:val="99"/>
    <w:semiHidden/>
    <w:rsid w:val="00C444DA"/>
    <w:rPr>
      <w:sz w:val="20"/>
      <w:szCs w:val="20"/>
    </w:rPr>
  </w:style>
  <w:style w:type="character" w:styleId="af4">
    <w:name w:val="footnote reference"/>
    <w:basedOn w:val="a0"/>
    <w:uiPriority w:val="99"/>
    <w:semiHidden/>
    <w:unhideWhenUsed/>
    <w:rsid w:val="00C444DA"/>
    <w:rPr>
      <w:vertAlign w:val="superscript"/>
    </w:rPr>
  </w:style>
  <w:style w:type="paragraph" w:styleId="af5">
    <w:name w:val="Normal (Web)"/>
    <w:basedOn w:val="a"/>
    <w:uiPriority w:val="99"/>
    <w:unhideWhenUsed/>
    <w:rsid w:val="00DC6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0345B7"/>
    <w:rPr>
      <w:b/>
      <w:bCs/>
      <w:i w:val="0"/>
      <w:iCs w:val="0"/>
    </w:rPr>
  </w:style>
  <w:style w:type="character" w:customStyle="1" w:styleId="aa">
    <w:name w:val="Абзац списка Знак"/>
    <w:aliases w:val="Абзац списка для документа Знак"/>
    <w:link w:val="a9"/>
    <w:uiPriority w:val="34"/>
    <w:locked/>
    <w:rsid w:val="00C11832"/>
  </w:style>
  <w:style w:type="character" w:styleId="af7">
    <w:name w:val="Hyperlink"/>
    <w:basedOn w:val="a0"/>
    <w:uiPriority w:val="99"/>
    <w:unhideWhenUsed/>
    <w:rsid w:val="00986BFD"/>
    <w:rPr>
      <w:color w:val="0000FF" w:themeColor="hyperlink"/>
      <w:u w:val="single"/>
    </w:rPr>
  </w:style>
  <w:style w:type="character" w:styleId="af8">
    <w:name w:val="FollowedHyperlink"/>
    <w:basedOn w:val="a0"/>
    <w:uiPriority w:val="99"/>
    <w:semiHidden/>
    <w:unhideWhenUsed/>
    <w:rsid w:val="00AC50AF"/>
    <w:rPr>
      <w:color w:val="800080" w:themeColor="followedHyperlink"/>
      <w:u w:val="single"/>
    </w:rPr>
  </w:style>
  <w:style w:type="character" w:customStyle="1" w:styleId="apple-converted-space">
    <w:name w:val="apple-converted-space"/>
    <w:basedOn w:val="a0"/>
    <w:rsid w:val="00D30FBD"/>
  </w:style>
  <w:style w:type="character" w:customStyle="1" w:styleId="blk1">
    <w:name w:val="blk1"/>
    <w:basedOn w:val="a0"/>
    <w:rsid w:val="00006A8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4506">
      <w:bodyDiv w:val="1"/>
      <w:marLeft w:val="0"/>
      <w:marRight w:val="0"/>
      <w:marTop w:val="0"/>
      <w:marBottom w:val="0"/>
      <w:divBdr>
        <w:top w:val="none" w:sz="0" w:space="0" w:color="auto"/>
        <w:left w:val="none" w:sz="0" w:space="0" w:color="auto"/>
        <w:bottom w:val="none" w:sz="0" w:space="0" w:color="auto"/>
        <w:right w:val="none" w:sz="0" w:space="0" w:color="auto"/>
      </w:divBdr>
      <w:divsChild>
        <w:div w:id="386534378">
          <w:marLeft w:val="547"/>
          <w:marRight w:val="0"/>
          <w:marTop w:val="0"/>
          <w:marBottom w:val="0"/>
          <w:divBdr>
            <w:top w:val="none" w:sz="0" w:space="0" w:color="auto"/>
            <w:left w:val="none" w:sz="0" w:space="0" w:color="auto"/>
            <w:bottom w:val="none" w:sz="0" w:space="0" w:color="auto"/>
            <w:right w:val="none" w:sz="0" w:space="0" w:color="auto"/>
          </w:divBdr>
        </w:div>
      </w:divsChild>
    </w:div>
    <w:div w:id="255601710">
      <w:bodyDiv w:val="1"/>
      <w:marLeft w:val="0"/>
      <w:marRight w:val="0"/>
      <w:marTop w:val="0"/>
      <w:marBottom w:val="0"/>
      <w:divBdr>
        <w:top w:val="none" w:sz="0" w:space="0" w:color="auto"/>
        <w:left w:val="none" w:sz="0" w:space="0" w:color="auto"/>
        <w:bottom w:val="none" w:sz="0" w:space="0" w:color="auto"/>
        <w:right w:val="none" w:sz="0" w:space="0" w:color="auto"/>
      </w:divBdr>
    </w:div>
    <w:div w:id="662515942">
      <w:bodyDiv w:val="1"/>
      <w:marLeft w:val="0"/>
      <w:marRight w:val="0"/>
      <w:marTop w:val="0"/>
      <w:marBottom w:val="0"/>
      <w:divBdr>
        <w:top w:val="none" w:sz="0" w:space="0" w:color="auto"/>
        <w:left w:val="none" w:sz="0" w:space="0" w:color="auto"/>
        <w:bottom w:val="none" w:sz="0" w:space="0" w:color="auto"/>
        <w:right w:val="none" w:sz="0" w:space="0" w:color="auto"/>
      </w:divBdr>
    </w:div>
    <w:div w:id="1138914468">
      <w:bodyDiv w:val="1"/>
      <w:marLeft w:val="0"/>
      <w:marRight w:val="0"/>
      <w:marTop w:val="0"/>
      <w:marBottom w:val="0"/>
      <w:divBdr>
        <w:top w:val="none" w:sz="0" w:space="0" w:color="auto"/>
        <w:left w:val="none" w:sz="0" w:space="0" w:color="auto"/>
        <w:bottom w:val="none" w:sz="0" w:space="0" w:color="auto"/>
        <w:right w:val="none" w:sz="0" w:space="0" w:color="auto"/>
      </w:divBdr>
    </w:div>
    <w:div w:id="1291936416">
      <w:bodyDiv w:val="1"/>
      <w:marLeft w:val="0"/>
      <w:marRight w:val="0"/>
      <w:marTop w:val="0"/>
      <w:marBottom w:val="0"/>
      <w:divBdr>
        <w:top w:val="none" w:sz="0" w:space="0" w:color="auto"/>
        <w:left w:val="none" w:sz="0" w:space="0" w:color="auto"/>
        <w:bottom w:val="none" w:sz="0" w:space="0" w:color="auto"/>
        <w:right w:val="none" w:sz="0" w:space="0" w:color="auto"/>
      </w:divBdr>
      <w:divsChild>
        <w:div w:id="1870143028">
          <w:marLeft w:val="0"/>
          <w:marRight w:val="0"/>
          <w:marTop w:val="0"/>
          <w:marBottom w:val="0"/>
          <w:divBdr>
            <w:top w:val="none" w:sz="0" w:space="0" w:color="auto"/>
            <w:left w:val="none" w:sz="0" w:space="0" w:color="auto"/>
            <w:bottom w:val="none" w:sz="0" w:space="0" w:color="auto"/>
            <w:right w:val="none" w:sz="0" w:space="0" w:color="auto"/>
          </w:divBdr>
          <w:divsChild>
            <w:div w:id="417408199">
              <w:marLeft w:val="0"/>
              <w:marRight w:val="0"/>
              <w:marTop w:val="0"/>
              <w:marBottom w:val="0"/>
              <w:divBdr>
                <w:top w:val="none" w:sz="0" w:space="0" w:color="auto"/>
                <w:left w:val="none" w:sz="0" w:space="0" w:color="auto"/>
                <w:bottom w:val="none" w:sz="0" w:space="0" w:color="auto"/>
                <w:right w:val="none" w:sz="0" w:space="0" w:color="auto"/>
              </w:divBdr>
              <w:divsChild>
                <w:div w:id="573123037">
                  <w:marLeft w:val="0"/>
                  <w:marRight w:val="0"/>
                  <w:marTop w:val="0"/>
                  <w:marBottom w:val="0"/>
                  <w:divBdr>
                    <w:top w:val="none" w:sz="0" w:space="0" w:color="auto"/>
                    <w:left w:val="none" w:sz="0" w:space="0" w:color="auto"/>
                    <w:bottom w:val="none" w:sz="0" w:space="0" w:color="auto"/>
                    <w:right w:val="none" w:sz="0" w:space="0" w:color="auto"/>
                  </w:divBdr>
                  <w:divsChild>
                    <w:div w:id="1437797901">
                      <w:marLeft w:val="0"/>
                      <w:marRight w:val="0"/>
                      <w:marTop w:val="0"/>
                      <w:marBottom w:val="0"/>
                      <w:divBdr>
                        <w:top w:val="none" w:sz="0" w:space="0" w:color="auto"/>
                        <w:left w:val="none" w:sz="0" w:space="0" w:color="auto"/>
                        <w:bottom w:val="none" w:sz="0" w:space="0" w:color="auto"/>
                        <w:right w:val="none" w:sz="0" w:space="0" w:color="auto"/>
                      </w:divBdr>
                      <w:divsChild>
                        <w:div w:id="255945961">
                          <w:marLeft w:val="0"/>
                          <w:marRight w:val="0"/>
                          <w:marTop w:val="0"/>
                          <w:marBottom w:val="0"/>
                          <w:divBdr>
                            <w:top w:val="none" w:sz="0" w:space="0" w:color="auto"/>
                            <w:left w:val="none" w:sz="0" w:space="0" w:color="auto"/>
                            <w:bottom w:val="none" w:sz="0" w:space="0" w:color="auto"/>
                            <w:right w:val="none" w:sz="0" w:space="0" w:color="auto"/>
                          </w:divBdr>
                          <w:divsChild>
                            <w:div w:id="257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602132">
      <w:bodyDiv w:val="1"/>
      <w:marLeft w:val="0"/>
      <w:marRight w:val="0"/>
      <w:marTop w:val="0"/>
      <w:marBottom w:val="0"/>
      <w:divBdr>
        <w:top w:val="none" w:sz="0" w:space="0" w:color="auto"/>
        <w:left w:val="none" w:sz="0" w:space="0" w:color="auto"/>
        <w:bottom w:val="none" w:sz="0" w:space="0" w:color="auto"/>
        <w:right w:val="none" w:sz="0" w:space="0" w:color="auto"/>
      </w:divBdr>
      <w:divsChild>
        <w:div w:id="1495026597">
          <w:marLeft w:val="0"/>
          <w:marRight w:val="0"/>
          <w:marTop w:val="0"/>
          <w:marBottom w:val="0"/>
          <w:divBdr>
            <w:top w:val="none" w:sz="0" w:space="0" w:color="auto"/>
            <w:left w:val="none" w:sz="0" w:space="0" w:color="auto"/>
            <w:bottom w:val="none" w:sz="0" w:space="0" w:color="auto"/>
            <w:right w:val="none" w:sz="0" w:space="0" w:color="auto"/>
          </w:divBdr>
          <w:divsChild>
            <w:div w:id="2104104791">
              <w:marLeft w:val="0"/>
              <w:marRight w:val="0"/>
              <w:marTop w:val="0"/>
              <w:marBottom w:val="0"/>
              <w:divBdr>
                <w:top w:val="none" w:sz="0" w:space="0" w:color="auto"/>
                <w:left w:val="none" w:sz="0" w:space="0" w:color="auto"/>
                <w:bottom w:val="none" w:sz="0" w:space="0" w:color="auto"/>
                <w:right w:val="none" w:sz="0" w:space="0" w:color="auto"/>
              </w:divBdr>
            </w:div>
            <w:div w:id="2144157319">
              <w:marLeft w:val="0"/>
              <w:marRight w:val="0"/>
              <w:marTop w:val="0"/>
              <w:marBottom w:val="0"/>
              <w:divBdr>
                <w:top w:val="none" w:sz="0" w:space="0" w:color="auto"/>
                <w:left w:val="none" w:sz="0" w:space="0" w:color="auto"/>
                <w:bottom w:val="none" w:sz="0" w:space="0" w:color="auto"/>
                <w:right w:val="none" w:sz="0" w:space="0" w:color="auto"/>
              </w:divBdr>
            </w:div>
            <w:div w:id="1230725676">
              <w:marLeft w:val="0"/>
              <w:marRight w:val="0"/>
              <w:marTop w:val="0"/>
              <w:marBottom w:val="0"/>
              <w:divBdr>
                <w:top w:val="none" w:sz="0" w:space="0" w:color="auto"/>
                <w:left w:val="none" w:sz="0" w:space="0" w:color="auto"/>
                <w:bottom w:val="none" w:sz="0" w:space="0" w:color="auto"/>
                <w:right w:val="none" w:sz="0" w:space="0" w:color="auto"/>
              </w:divBdr>
            </w:div>
          </w:divsChild>
        </w:div>
        <w:div w:id="301741749">
          <w:marLeft w:val="0"/>
          <w:marRight w:val="0"/>
          <w:marTop w:val="0"/>
          <w:marBottom w:val="0"/>
          <w:divBdr>
            <w:top w:val="none" w:sz="0" w:space="0" w:color="auto"/>
            <w:left w:val="none" w:sz="0" w:space="0" w:color="auto"/>
            <w:bottom w:val="none" w:sz="0" w:space="0" w:color="auto"/>
            <w:right w:val="none" w:sz="0" w:space="0" w:color="auto"/>
          </w:divBdr>
        </w:div>
      </w:divsChild>
    </w:div>
    <w:div w:id="1838226838">
      <w:bodyDiv w:val="1"/>
      <w:marLeft w:val="0"/>
      <w:marRight w:val="0"/>
      <w:marTop w:val="0"/>
      <w:marBottom w:val="0"/>
      <w:divBdr>
        <w:top w:val="none" w:sz="0" w:space="0" w:color="auto"/>
        <w:left w:val="none" w:sz="0" w:space="0" w:color="auto"/>
        <w:bottom w:val="none" w:sz="0" w:space="0" w:color="auto"/>
        <w:right w:val="none" w:sz="0" w:space="0" w:color="auto"/>
      </w:divBdr>
      <w:divsChild>
        <w:div w:id="164326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F5987E594B551742E71EE5BFB2D1F5DF173D9CAAD05EA4F9C08036B72T4O" TargetMode="External"/><Relationship Id="rId13" Type="http://schemas.openxmlformats.org/officeDocument/2006/relationships/hyperlink" Target="consultantplus://offline/ref=BEEF5987E594B551742E71EE5BFB2D1F5DF27DD7C7A905EA4F9C08036B72T4O" TargetMode="External"/><Relationship Id="rId18" Type="http://schemas.openxmlformats.org/officeDocument/2006/relationships/hyperlink" Target="http://cbr.ru" TargetMode="External"/><Relationship Id="rId26" Type="http://schemas.openxmlformats.org/officeDocument/2006/relationships/hyperlink" Target="http://eur-lex.europa.eu/homepage.html" TargetMode="External"/><Relationship Id="rId3" Type="http://schemas.openxmlformats.org/officeDocument/2006/relationships/styles" Target="styles.xml"/><Relationship Id="rId21" Type="http://schemas.openxmlformats.org/officeDocument/2006/relationships/hyperlink" Target="https://docs.eaeunion.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EF5987E594B551742E71EE5BFB2D1F5DF173D8CFAF05EA4F9C08036B72T4O" TargetMode="External"/><Relationship Id="rId17" Type="http://schemas.openxmlformats.org/officeDocument/2006/relationships/hyperlink" Target="https://www.cbr.ru/finmarkets/files/legislation/MiFiD2.pdf" TargetMode="External"/><Relationship Id="rId25" Type="http://schemas.openxmlformats.org/officeDocument/2006/relationships/hyperlink" Target="https://www.iosco.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asiangroup.org/Rekomendatcii_FATF.pdf" TargetMode="External"/><Relationship Id="rId20" Type="http://schemas.openxmlformats.org/officeDocument/2006/relationships/hyperlink" Target="http://eec.eaeunion.org/" TargetMode="External"/><Relationship Id="rId29" Type="http://schemas.openxmlformats.org/officeDocument/2006/relationships/hyperlink" Target="https://www.ns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EF5987E594B551742E71EE5BFB2D1F5DF17CD6CFAA05EA4F9C08036B72T4O" TargetMode="External"/><Relationship Id="rId24" Type="http://schemas.openxmlformats.org/officeDocument/2006/relationships/hyperlink" Target="http://www.eurasiangroup.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EEF5987E594B551742E71EE5BFB2D1F58F47CDAC7A158E047C5040176TCO" TargetMode="External"/><Relationship Id="rId23" Type="http://schemas.openxmlformats.org/officeDocument/2006/relationships/hyperlink" Target="http://www.fatf-gafi.org" TargetMode="External"/><Relationship Id="rId28" Type="http://schemas.openxmlformats.org/officeDocument/2006/relationships/hyperlink" Target="http://nfa.ru" TargetMode="External"/><Relationship Id="rId10" Type="http://schemas.openxmlformats.org/officeDocument/2006/relationships/hyperlink" Target="consultantplus://offline/ref=BEEF5987E594B551742E71EE5BFB2D1F5DF27CDBCFA205EA4F9C08036B72T4O" TargetMode="External"/><Relationship Id="rId19" Type="http://schemas.openxmlformats.org/officeDocument/2006/relationships/hyperlink" Target="http://www.eaeunion.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EEF5987E594B551742E71EE5BFB2D1F5DF173D8CFAB05EA4F9C08036B72T4O" TargetMode="External"/><Relationship Id="rId14" Type="http://schemas.openxmlformats.org/officeDocument/2006/relationships/hyperlink" Target="consultantplus://offline/ref=BEEF5987E594B551742E71EE5BFB2D1F5DF177D7C6A305EA4F9C08036B72T4O" TargetMode="External"/><Relationship Id="rId22" Type="http://schemas.openxmlformats.org/officeDocument/2006/relationships/hyperlink" Target="http://www.fsb.org" TargetMode="External"/><Relationship Id="rId27" Type="http://schemas.openxmlformats.org/officeDocument/2006/relationships/hyperlink" Target="http://partad.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DD0C-C882-490C-9554-836FC3D3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3237</Words>
  <Characters>18452</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AHML</Company>
  <LinksUpToDate>false</LinksUpToDate>
  <CharactersWithSpaces>21646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Еркович Елена Анатольевна</dc:creator>
  <cp:lastModifiedBy>Владимир Коненкин</cp:lastModifiedBy>
  <cp:revision>32</cp:revision>
  <cp:lastPrinted>2017-04-21T16:54:00Z</cp:lastPrinted>
  <dcterms:created xsi:type="dcterms:W3CDTF">2017-10-24T16:01:00Z</dcterms:created>
  <dcterms:modified xsi:type="dcterms:W3CDTF">2018-03-26T14:27:00Z</dcterms:modified>
</cp:coreProperties>
</file>